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5CC3" w14:textId="77777777" w:rsidR="00735EE5" w:rsidRPr="00EF7D38" w:rsidRDefault="00735E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500"/>
        <w:gridCol w:w="4495"/>
        <w:gridCol w:w="4497"/>
      </w:tblGrid>
      <w:tr w:rsidR="002E173A" w:rsidRPr="00EF7D38" w14:paraId="502E90ED" w14:textId="77777777" w:rsidTr="00AB2B4E">
        <w:tc>
          <w:tcPr>
            <w:tcW w:w="456" w:type="dxa"/>
          </w:tcPr>
          <w:p w14:paraId="686620C4" w14:textId="77777777" w:rsidR="00735EE5" w:rsidRPr="00EF7D38" w:rsidRDefault="00735EE5" w:rsidP="005A0DEA">
            <w:pPr>
              <w:jc w:val="center"/>
              <w:rPr>
                <w:b/>
                <w:bCs/>
              </w:rPr>
            </w:pPr>
          </w:p>
        </w:tc>
        <w:tc>
          <w:tcPr>
            <w:tcW w:w="4500" w:type="dxa"/>
          </w:tcPr>
          <w:p w14:paraId="3103FC8F" w14:textId="4AA7CE01" w:rsidR="00735EE5" w:rsidRPr="00EF7D38" w:rsidRDefault="00892779" w:rsidP="005A0DEA">
            <w:pPr>
              <w:jc w:val="center"/>
              <w:rPr>
                <w:b/>
                <w:bCs/>
              </w:rPr>
            </w:pPr>
            <w:r w:rsidRPr="00EF7D38">
              <w:rPr>
                <w:b/>
                <w:bCs/>
              </w:rPr>
              <w:t>Зміст</w:t>
            </w:r>
            <w:r w:rsidR="00735EE5" w:rsidRPr="00EF7D38">
              <w:rPr>
                <w:b/>
                <w:bCs/>
              </w:rPr>
              <w:t xml:space="preserve"> Про</w:t>
            </w:r>
            <w:r w:rsidR="003D2671" w:rsidRPr="00EF7D38">
              <w:rPr>
                <w:b/>
                <w:bCs/>
              </w:rPr>
              <w:t>є</w:t>
            </w:r>
            <w:r w:rsidR="00735EE5" w:rsidRPr="00EF7D38">
              <w:rPr>
                <w:b/>
                <w:bCs/>
              </w:rPr>
              <w:t>кту Закону №5547</w:t>
            </w:r>
            <w:r w:rsidR="002F5496" w:rsidRPr="00EF7D38">
              <w:rPr>
                <w:b/>
                <w:bCs/>
              </w:rPr>
              <w:t xml:space="preserve"> до першого читання</w:t>
            </w:r>
          </w:p>
        </w:tc>
        <w:tc>
          <w:tcPr>
            <w:tcW w:w="4495" w:type="dxa"/>
          </w:tcPr>
          <w:p w14:paraId="00FCCF5F" w14:textId="5E6F99D6" w:rsidR="00735EE5" w:rsidRPr="00EF7D38" w:rsidRDefault="00041A60" w:rsidP="005A0DEA">
            <w:pPr>
              <w:jc w:val="center"/>
              <w:rPr>
                <w:b/>
                <w:bCs/>
              </w:rPr>
            </w:pPr>
            <w:r w:rsidRPr="00EF7D38">
              <w:rPr>
                <w:b/>
                <w:bCs/>
              </w:rPr>
              <w:t>Можливі</w:t>
            </w:r>
            <w:r w:rsidR="00735EE5" w:rsidRPr="00EF7D38">
              <w:rPr>
                <w:b/>
                <w:bCs/>
              </w:rPr>
              <w:t xml:space="preserve"> наслідки</w:t>
            </w:r>
          </w:p>
        </w:tc>
        <w:tc>
          <w:tcPr>
            <w:tcW w:w="4497" w:type="dxa"/>
          </w:tcPr>
          <w:p w14:paraId="7DAC25AE" w14:textId="5C16F1B3" w:rsidR="00735EE5" w:rsidRPr="00EF7D38" w:rsidRDefault="00735EE5" w:rsidP="005A0DEA">
            <w:pPr>
              <w:jc w:val="center"/>
              <w:rPr>
                <w:b/>
                <w:bCs/>
              </w:rPr>
            </w:pPr>
            <w:r w:rsidRPr="00EF7D38">
              <w:rPr>
                <w:b/>
                <w:bCs/>
              </w:rPr>
              <w:t xml:space="preserve">Пропозиції </w:t>
            </w:r>
            <w:r w:rsidR="003D2671" w:rsidRPr="00EF7D38">
              <w:rPr>
                <w:b/>
                <w:bCs/>
              </w:rPr>
              <w:t>Комітет</w:t>
            </w:r>
            <w:r w:rsidR="00533CCD" w:rsidRPr="00EF7D38">
              <w:rPr>
                <w:b/>
                <w:bCs/>
              </w:rPr>
              <w:t>у</w:t>
            </w:r>
            <w:r w:rsidR="003D2671" w:rsidRPr="00EF7D38">
              <w:rPr>
                <w:b/>
                <w:bCs/>
              </w:rPr>
              <w:t xml:space="preserve"> </w:t>
            </w:r>
            <w:r w:rsidR="002F5496" w:rsidRPr="002505CC">
              <w:rPr>
                <w:b/>
                <w:bCs/>
              </w:rPr>
              <w:t>EBA</w:t>
            </w:r>
            <w:r w:rsidR="00B71A6F" w:rsidRPr="00EF7D38">
              <w:rPr>
                <w:b/>
                <w:bCs/>
              </w:rPr>
              <w:t xml:space="preserve"> до другого читання</w:t>
            </w:r>
          </w:p>
        </w:tc>
      </w:tr>
      <w:tr w:rsidR="002E173A" w:rsidRPr="00EF7D38" w14:paraId="3554CF6B" w14:textId="77777777" w:rsidTr="00AB2B4E">
        <w:tc>
          <w:tcPr>
            <w:tcW w:w="456" w:type="dxa"/>
          </w:tcPr>
          <w:p w14:paraId="79EA9C69" w14:textId="3E5443D0" w:rsidR="008C0C0C" w:rsidRPr="00EF7D38" w:rsidRDefault="005A0DEA" w:rsidP="005A0DEA">
            <w:pPr>
              <w:jc w:val="both"/>
            </w:pPr>
            <w:r w:rsidRPr="00EF7D38">
              <w:t>1</w:t>
            </w:r>
            <w:r w:rsidR="00892779" w:rsidRPr="00EF7D38">
              <w:t>.</w:t>
            </w:r>
          </w:p>
        </w:tc>
        <w:tc>
          <w:tcPr>
            <w:tcW w:w="4500" w:type="dxa"/>
          </w:tcPr>
          <w:p w14:paraId="387F6A25" w14:textId="0F994E6A" w:rsidR="008C0C0C" w:rsidRPr="00EF7D38" w:rsidRDefault="008C0C0C" w:rsidP="00892779">
            <w:pPr>
              <w:jc w:val="both"/>
            </w:pPr>
            <w:r w:rsidRPr="00EF7D38">
              <w:t xml:space="preserve">Скасування </w:t>
            </w:r>
            <w:r w:rsidR="006C7F4B" w:rsidRPr="00EF7D38">
              <w:t>процедури «</w:t>
            </w:r>
            <w:r w:rsidRPr="00EF7D38">
              <w:t>визнання</w:t>
            </w:r>
            <w:r w:rsidR="006C7F4B" w:rsidRPr="00EF7D38">
              <w:t>»</w:t>
            </w:r>
            <w:r w:rsidRPr="00EF7D38">
              <w:t xml:space="preserve"> сертифікатів підтвердження умов виробництва вимогам належної виробничої </w:t>
            </w:r>
            <w:r w:rsidR="00887198" w:rsidRPr="00EF7D38">
              <w:t>практики</w:t>
            </w:r>
            <w:r w:rsidRPr="00EF7D38">
              <w:t xml:space="preserve"> (</w:t>
            </w:r>
            <w:r w:rsidR="00887198" w:rsidRPr="00EF7D38">
              <w:t xml:space="preserve">надалі – </w:t>
            </w:r>
            <w:r w:rsidRPr="00EF7D38">
              <w:t>GMP)</w:t>
            </w:r>
            <w:r w:rsidR="002F27DE" w:rsidRPr="002505CC">
              <w:t xml:space="preserve">. </w:t>
            </w:r>
            <w:r w:rsidRPr="00EF7D38">
              <w:t xml:space="preserve"> </w:t>
            </w:r>
            <w:r w:rsidR="005B49AF" w:rsidRPr="00EF7D38">
              <w:t>і</w:t>
            </w:r>
            <w:r w:rsidRPr="00EF7D38">
              <w:t>з</w:t>
            </w:r>
            <w:r w:rsidR="00F6454A" w:rsidRPr="00EF7D38">
              <w:t>.</w:t>
            </w:r>
            <w:r w:rsidR="006C7F4B" w:rsidRPr="00EF7D38">
              <w:t xml:space="preserve"> Заміна спрощеної процедури</w:t>
            </w:r>
            <w:r w:rsidR="002F27DE" w:rsidRPr="002505CC">
              <w:t xml:space="preserve"> перев</w:t>
            </w:r>
            <w:r w:rsidR="002F27DE" w:rsidRPr="00EF7D38">
              <w:t>ірки по документах матеріалів з</w:t>
            </w:r>
            <w:r w:rsidR="006C7F4B" w:rsidRPr="00EF7D38">
              <w:t xml:space="preserve"> </w:t>
            </w:r>
            <w:r w:rsidR="002F27DE" w:rsidRPr="00EF7D38">
              <w:t xml:space="preserve">країн Європейського Союзу (надалі – ЄС), Великої Британії та країн що мають угоди з ЄС </w:t>
            </w:r>
            <w:r w:rsidR="006C7F4B" w:rsidRPr="00EF7D38">
              <w:t xml:space="preserve">виключно на процедуру інспектування кожного виробництва з боку українського </w:t>
            </w:r>
            <w:r w:rsidR="00041A60" w:rsidRPr="00EF7D38">
              <w:t>контролюючого органу</w:t>
            </w:r>
            <w:r w:rsidR="006C7F4B" w:rsidRPr="00EF7D38">
              <w:t>.</w:t>
            </w:r>
          </w:p>
        </w:tc>
        <w:tc>
          <w:tcPr>
            <w:tcW w:w="4495" w:type="dxa"/>
          </w:tcPr>
          <w:p w14:paraId="02D1BA17" w14:textId="5222BA2B" w:rsidR="00EB39E8" w:rsidRPr="00EF7D38" w:rsidRDefault="006C7F4B" w:rsidP="005A0DEA">
            <w:pPr>
              <w:jc w:val="both"/>
            </w:pPr>
            <w:r w:rsidRPr="00EF7D38">
              <w:t xml:space="preserve">Значне ускладнення потрапляння ліків, а також </w:t>
            </w:r>
            <w:r w:rsidR="00EB39E8" w:rsidRPr="00EF7D38">
              <w:t>діючих речовин, які використовуються під час подальшого виробництва</w:t>
            </w:r>
            <w:r w:rsidR="002F27DE" w:rsidRPr="00EF7D38">
              <w:t xml:space="preserve"> ліків</w:t>
            </w:r>
            <w:r w:rsidR="00EB39E8" w:rsidRPr="00EF7D38">
              <w:t xml:space="preserve"> в Україні,</w:t>
            </w:r>
            <w:r w:rsidRPr="00EF7D38">
              <w:t xml:space="preserve"> на ринок України з країн, контроль </w:t>
            </w:r>
            <w:r w:rsidR="002F27DE" w:rsidRPr="002505CC">
              <w:t xml:space="preserve">GMP </w:t>
            </w:r>
            <w:r w:rsidRPr="00EF7D38">
              <w:t>яких визнан</w:t>
            </w:r>
            <w:r w:rsidR="002F27DE" w:rsidRPr="00EF7D38">
              <w:t>ий</w:t>
            </w:r>
            <w:r w:rsidRPr="00EF7D38">
              <w:t xml:space="preserve"> у світі.</w:t>
            </w:r>
          </w:p>
          <w:p w14:paraId="6706D914" w14:textId="194CDAC4" w:rsidR="00EB39E8" w:rsidRPr="00EF7D38" w:rsidRDefault="00AE710D" w:rsidP="005A0DEA">
            <w:pPr>
              <w:jc w:val="both"/>
            </w:pPr>
            <w:r w:rsidRPr="00EF7D38">
              <w:t>Вимушена н</w:t>
            </w:r>
            <w:r w:rsidR="00EB39E8" w:rsidRPr="00EF7D38">
              <w:t xml:space="preserve">еобхідність створення «монструозного» інспекторату в Україні, що матиме фізичну можливість проведення таких перевірок у всьому світі. </w:t>
            </w:r>
          </w:p>
          <w:p w14:paraId="176A75E9" w14:textId="09FA3AB2" w:rsidR="00AE710D" w:rsidRPr="00EF7D38" w:rsidRDefault="00EB39E8" w:rsidP="00EB39E8">
            <w:pPr>
              <w:jc w:val="both"/>
            </w:pPr>
            <w:r w:rsidRPr="00EF7D38">
              <w:t xml:space="preserve">Ризик </w:t>
            </w:r>
            <w:r w:rsidR="00AE710D" w:rsidRPr="002505CC">
              <w:t xml:space="preserve">призупинення постачання </w:t>
            </w:r>
            <w:r w:rsidR="00AE710D" w:rsidRPr="00EF7D38">
              <w:t xml:space="preserve">певних ліків та, в цілому, </w:t>
            </w:r>
            <w:r w:rsidR="006C7F4B" w:rsidRPr="00EF7D38">
              <w:t>перебої</w:t>
            </w:r>
            <w:r w:rsidRPr="00EF7D38">
              <w:t>в</w:t>
            </w:r>
            <w:r w:rsidR="006C7F4B" w:rsidRPr="00EF7D38">
              <w:t xml:space="preserve"> у забезпеченні пацієнтів необхідним лікуванням через </w:t>
            </w:r>
            <w:r w:rsidR="00AE710D" w:rsidRPr="00EF7D38">
              <w:t xml:space="preserve"> обсяги </w:t>
            </w:r>
            <w:r w:rsidR="006C7F4B" w:rsidRPr="00EF7D38">
              <w:t>інспектування</w:t>
            </w:r>
            <w:r w:rsidR="00AE710D" w:rsidRPr="00EF7D38">
              <w:t>, що має забезпечити</w:t>
            </w:r>
            <w:r w:rsidR="006C7F4B" w:rsidRPr="00EF7D38">
              <w:t xml:space="preserve"> українськи</w:t>
            </w:r>
            <w:r w:rsidR="00AE710D" w:rsidRPr="00EF7D38">
              <w:t>й</w:t>
            </w:r>
            <w:r w:rsidR="006C7F4B" w:rsidRPr="00EF7D38">
              <w:t xml:space="preserve"> орган</w:t>
            </w:r>
            <w:r w:rsidR="00AE710D" w:rsidRPr="00EF7D38">
              <w:t xml:space="preserve">, не зважаючи на те, що дільниці </w:t>
            </w:r>
            <w:r w:rsidR="006C7F4B" w:rsidRPr="00EF7D38">
              <w:t>вже проінспектовані органами ЄС</w:t>
            </w:r>
            <w:r w:rsidR="00AE710D" w:rsidRPr="00EF7D38">
              <w:t xml:space="preserve">. </w:t>
            </w:r>
          </w:p>
          <w:p w14:paraId="2FEAFD00" w14:textId="5FAA6314" w:rsidR="008C0C0C" w:rsidRPr="00EF7D38" w:rsidRDefault="00AE710D" w:rsidP="00EB39E8">
            <w:pPr>
              <w:jc w:val="both"/>
            </w:pPr>
            <w:r w:rsidRPr="00EF7D38">
              <w:t>П</w:t>
            </w:r>
            <w:r w:rsidR="008C0C0C" w:rsidRPr="00EF7D38">
              <w:t xml:space="preserve">огіршення взаємодії з ЄС, віддалення від </w:t>
            </w:r>
            <w:r w:rsidR="00AB2B4E" w:rsidRPr="00EF7D38">
              <w:t>п</w:t>
            </w:r>
            <w:r w:rsidR="008C0C0C" w:rsidRPr="00EF7D38">
              <w:t>рактик та стандартів взаємодії всередині ЄС.</w:t>
            </w:r>
          </w:p>
        </w:tc>
        <w:tc>
          <w:tcPr>
            <w:tcW w:w="4497" w:type="dxa"/>
          </w:tcPr>
          <w:p w14:paraId="50183B7A" w14:textId="4FBE4811" w:rsidR="00EB39E8" w:rsidRPr="00EF7D38" w:rsidRDefault="00EB39E8" w:rsidP="005A0DEA">
            <w:pPr>
              <w:jc w:val="both"/>
              <w:rPr>
                <w:shd w:val="clear" w:color="auto" w:fill="FFFFFF"/>
              </w:rPr>
            </w:pPr>
            <w:r w:rsidRPr="00EF7D38">
              <w:t>Продовжити функціонування чинної процедури</w:t>
            </w:r>
            <w:r w:rsidR="008C0C0C" w:rsidRPr="00EF7D38">
              <w:t xml:space="preserve"> </w:t>
            </w:r>
            <w:r w:rsidRPr="00EF7D38">
              <w:t>«</w:t>
            </w:r>
            <w:r w:rsidR="008C0C0C" w:rsidRPr="00EF7D38">
              <w:t>визнання</w:t>
            </w:r>
            <w:r w:rsidRPr="00EF7D38">
              <w:t>»</w:t>
            </w:r>
            <w:r w:rsidR="008C0C0C" w:rsidRPr="00EF7D38">
              <w:t xml:space="preserve"> сертифікатів GMP виробників з ЄС, </w:t>
            </w:r>
            <w:r w:rsidR="008C0C0C" w:rsidRPr="00EF7D38">
              <w:rPr>
                <w:shd w:val="clear" w:color="auto" w:fill="FFFFFF"/>
              </w:rPr>
              <w:t>Великої Британії та країн</w:t>
            </w:r>
            <w:r w:rsidR="00892779" w:rsidRPr="00EF7D38">
              <w:rPr>
                <w:shd w:val="clear" w:color="auto" w:fill="FFFFFF"/>
              </w:rPr>
              <w:t>,</w:t>
            </w:r>
            <w:r w:rsidR="008C0C0C" w:rsidRPr="00EF7D38">
              <w:rPr>
                <w:shd w:val="clear" w:color="auto" w:fill="FFFFFF"/>
              </w:rPr>
              <w:t xml:space="preserve"> що мають угоди з ЄС. </w:t>
            </w:r>
            <w:r w:rsidR="00EB248E" w:rsidRPr="00EF7D38">
              <w:rPr>
                <w:shd w:val="clear" w:color="auto" w:fill="FFFFFF"/>
              </w:rPr>
              <w:t xml:space="preserve">Рух у бік подальшого спрощення процедури перевірок по документах, що діє нині. </w:t>
            </w:r>
          </w:p>
          <w:p w14:paraId="64F8BC18" w14:textId="024951D1" w:rsidR="008C0C0C" w:rsidRPr="00EF7D38" w:rsidRDefault="00EB39E8" w:rsidP="005A0DEA">
            <w:pPr>
              <w:jc w:val="both"/>
            </w:pPr>
            <w:r w:rsidRPr="00EF7D38">
              <w:rPr>
                <w:shd w:val="clear" w:color="auto" w:fill="FFFFFF"/>
              </w:rPr>
              <w:t xml:space="preserve">Паралельно ініціювати та </w:t>
            </w:r>
            <w:proofErr w:type="spellStart"/>
            <w:r w:rsidRPr="00EF7D38">
              <w:rPr>
                <w:shd w:val="clear" w:color="auto" w:fill="FFFFFF"/>
              </w:rPr>
              <w:t>пріоритезувати</w:t>
            </w:r>
            <w:proofErr w:type="spellEnd"/>
            <w:r w:rsidRPr="00EF7D38">
              <w:rPr>
                <w:shd w:val="clear" w:color="auto" w:fill="FFFFFF"/>
              </w:rPr>
              <w:t xml:space="preserve"> забезпечення повної відповідності процедур та </w:t>
            </w:r>
            <w:r w:rsidR="001615A5" w:rsidRPr="00EF7D38">
              <w:rPr>
                <w:shd w:val="clear" w:color="auto" w:fill="FFFFFF"/>
              </w:rPr>
              <w:t>стандартів</w:t>
            </w:r>
            <w:r w:rsidRPr="00EF7D38">
              <w:rPr>
                <w:shd w:val="clear" w:color="auto" w:fill="FFFFFF"/>
              </w:rPr>
              <w:t xml:space="preserve"> щодо </w:t>
            </w:r>
            <w:r w:rsidRPr="00EF7D38">
              <w:t xml:space="preserve">GMP в Україні як складової роботи для укладання </w:t>
            </w:r>
            <w:r w:rsidR="00041A60" w:rsidRPr="00EF7D38">
              <w:t>у</w:t>
            </w:r>
            <w:r w:rsidR="00F54DBD" w:rsidRPr="00EF7D38">
              <w:t xml:space="preserve">год про </w:t>
            </w:r>
            <w:r w:rsidRPr="00EF7D38">
              <w:t xml:space="preserve">взаємне </w:t>
            </w:r>
            <w:r w:rsidR="00F54DBD" w:rsidRPr="00EF7D38">
              <w:t>визнання</w:t>
            </w:r>
            <w:r w:rsidRPr="00EF7D38">
              <w:t xml:space="preserve"> з іншими країнами</w:t>
            </w:r>
            <w:r w:rsidR="00041A60" w:rsidRPr="00EF7D38">
              <w:t xml:space="preserve"> та включення цього положення до Угоди</w:t>
            </w:r>
            <w:r w:rsidR="008C0C0C" w:rsidRPr="00EF7D38">
              <w:t xml:space="preserve"> </w:t>
            </w:r>
            <w:r w:rsidRPr="00EF7D38">
              <w:t>A</w:t>
            </w:r>
            <w:r w:rsidRPr="002505CC">
              <w:t>CAA</w:t>
            </w:r>
            <w:r w:rsidRPr="00EF7D38">
              <w:t xml:space="preserve"> з ЄС</w:t>
            </w:r>
            <w:r w:rsidR="00041A60" w:rsidRPr="00EF7D38">
              <w:t xml:space="preserve"> (Угода про оцінку відповідності і прийнятності промислових товарів)</w:t>
            </w:r>
            <w:r w:rsidR="008C0C0C" w:rsidRPr="00EF7D38">
              <w:t>.</w:t>
            </w:r>
          </w:p>
        </w:tc>
      </w:tr>
      <w:tr w:rsidR="00EB39E8" w:rsidRPr="00EF7D38" w14:paraId="34574143" w14:textId="77777777" w:rsidTr="00A26AAF">
        <w:tc>
          <w:tcPr>
            <w:tcW w:w="456" w:type="dxa"/>
          </w:tcPr>
          <w:p w14:paraId="3389641A" w14:textId="77777777" w:rsidR="00EB39E8" w:rsidRPr="00EF7D38" w:rsidRDefault="00EB39E8" w:rsidP="00A26AAF">
            <w:pPr>
              <w:jc w:val="both"/>
            </w:pPr>
            <w:r w:rsidRPr="00EF7D38">
              <w:t>2</w:t>
            </w:r>
          </w:p>
        </w:tc>
        <w:tc>
          <w:tcPr>
            <w:tcW w:w="4500" w:type="dxa"/>
          </w:tcPr>
          <w:p w14:paraId="38D2123C" w14:textId="0A6E9D8D" w:rsidR="00EB39E8" w:rsidRPr="00EF7D38" w:rsidRDefault="00EB39E8" w:rsidP="00A26AAF">
            <w:pPr>
              <w:jc w:val="both"/>
            </w:pPr>
            <w:r w:rsidRPr="00EF7D38">
              <w:t xml:space="preserve">Заборона фармацевтичним компаніям, які знаходяться у </w:t>
            </w:r>
            <w:r w:rsidR="00EB248E" w:rsidRPr="00EF7D38">
              <w:t xml:space="preserve">Великій Британії, </w:t>
            </w:r>
            <w:r w:rsidRPr="00EF7D38">
              <w:t xml:space="preserve">США, Японії, Швейцарії, Австралії, Канаді </w:t>
            </w:r>
            <w:r w:rsidR="00041A60" w:rsidRPr="00EF7D38">
              <w:t xml:space="preserve">тощо </w:t>
            </w:r>
            <w:r w:rsidRPr="00EF7D38">
              <w:t xml:space="preserve">(країнах з суворим регуляторним середовищем) </w:t>
            </w:r>
            <w:r w:rsidR="00041A60" w:rsidRPr="00EF7D38">
              <w:t xml:space="preserve">безпосередньо </w:t>
            </w:r>
            <w:r w:rsidRPr="00EF7D38">
              <w:t>реєструвати лікарські засоби в Україні</w:t>
            </w:r>
            <w:r w:rsidR="00EB248E" w:rsidRPr="00EF7D38">
              <w:t xml:space="preserve"> (визнання власником реєстраці</w:t>
            </w:r>
            <w:r w:rsidR="00D0610B">
              <w:t xml:space="preserve">ї </w:t>
            </w:r>
            <w:r w:rsidR="00EB248E" w:rsidRPr="00EF7D38">
              <w:t xml:space="preserve">на лікарських засіб лише </w:t>
            </w:r>
            <w:r w:rsidR="00483EB3" w:rsidRPr="00EF7D38">
              <w:t xml:space="preserve">власників з </w:t>
            </w:r>
            <w:r w:rsidR="00EB248E" w:rsidRPr="00EF7D38">
              <w:t>країн ЄС та України).</w:t>
            </w:r>
          </w:p>
        </w:tc>
        <w:tc>
          <w:tcPr>
            <w:tcW w:w="4495" w:type="dxa"/>
          </w:tcPr>
          <w:p w14:paraId="6E126B00" w14:textId="521E7FB3" w:rsidR="00EB39E8" w:rsidRPr="00EF7D38" w:rsidRDefault="00EB39E8" w:rsidP="00A26AAF">
            <w:pPr>
              <w:jc w:val="both"/>
            </w:pPr>
            <w:r w:rsidRPr="00EF7D38">
              <w:t>Ускладнення операційної діяльності компаній в Україні</w:t>
            </w:r>
            <w:r w:rsidR="00041A60" w:rsidRPr="00EF7D38">
              <w:t xml:space="preserve">, що може призвести до </w:t>
            </w:r>
            <w:r w:rsidR="00EB248E" w:rsidRPr="00EF7D38">
              <w:t xml:space="preserve">затримок із </w:t>
            </w:r>
            <w:r w:rsidR="002C3E82" w:rsidRPr="00EF7D38">
              <w:t>виход</w:t>
            </w:r>
            <w:r w:rsidR="00EB248E" w:rsidRPr="00EF7D38">
              <w:t>ом</w:t>
            </w:r>
            <w:r w:rsidR="002C3E82" w:rsidRPr="00EF7D38">
              <w:t xml:space="preserve"> на ринок нових ліків</w:t>
            </w:r>
            <w:r w:rsidR="00EB248E" w:rsidRPr="00EF7D38">
              <w:t xml:space="preserve"> або тих, що вже є на ринку;</w:t>
            </w:r>
            <w:r w:rsidR="002C3E82" w:rsidRPr="00EF7D38">
              <w:t xml:space="preserve"> в деяких випадках – </w:t>
            </w:r>
            <w:r w:rsidR="00041A60" w:rsidRPr="00EF7D38">
              <w:t>необхідн</w:t>
            </w:r>
            <w:r w:rsidR="00EB248E" w:rsidRPr="00EF7D38">
              <w:t>і</w:t>
            </w:r>
            <w:r w:rsidR="00041A60" w:rsidRPr="00EF7D38">
              <w:t>ст</w:t>
            </w:r>
            <w:r w:rsidR="00EB248E" w:rsidRPr="00EF7D38">
              <w:t>ь</w:t>
            </w:r>
            <w:r w:rsidR="00041A60" w:rsidRPr="00EF7D38">
              <w:t xml:space="preserve"> перегляду</w:t>
            </w:r>
            <w:r w:rsidRPr="00EF7D38">
              <w:t xml:space="preserve"> портфелю лікарських засобів, </w:t>
            </w:r>
            <w:r w:rsidR="002C3E82" w:rsidRPr="00EF7D38">
              <w:t xml:space="preserve">вже </w:t>
            </w:r>
            <w:r w:rsidR="00041A60" w:rsidRPr="00EF7D38">
              <w:t>представлених в Україні.</w:t>
            </w:r>
          </w:p>
        </w:tc>
        <w:tc>
          <w:tcPr>
            <w:tcW w:w="4497" w:type="dxa"/>
          </w:tcPr>
          <w:p w14:paraId="539FCBB8" w14:textId="67251584" w:rsidR="00EB39E8" w:rsidRPr="00EF7D38" w:rsidRDefault="00EB39E8" w:rsidP="00A26AAF">
            <w:pPr>
              <w:jc w:val="both"/>
            </w:pPr>
            <w:r w:rsidRPr="00EF7D38">
              <w:t>Пропонуємо не запроваджувати такі обмеження.</w:t>
            </w:r>
            <w:r w:rsidR="00EB248E" w:rsidRPr="00EF7D38">
              <w:t xml:space="preserve"> Натомість </w:t>
            </w:r>
            <w:r w:rsidR="00483EB3" w:rsidRPr="00EF7D38">
              <w:t>–</w:t>
            </w:r>
            <w:r w:rsidR="00EB248E" w:rsidRPr="00EF7D38">
              <w:t xml:space="preserve"> </w:t>
            </w:r>
            <w:r w:rsidR="00483EB3" w:rsidRPr="00EF7D38">
              <w:t xml:space="preserve">дозволити країнам із суворою регуляторною системою бути визнаними в Україні як такі, </w:t>
            </w:r>
            <w:r w:rsidR="00D0610B">
              <w:t>компанії з яких</w:t>
            </w:r>
            <w:r w:rsidR="00483EB3" w:rsidRPr="00EF7D38">
              <w:t xml:space="preserve"> </w:t>
            </w:r>
            <w:r w:rsidR="00D0610B">
              <w:t>можуть бути</w:t>
            </w:r>
            <w:r w:rsidR="00483EB3" w:rsidRPr="00EF7D38">
              <w:t xml:space="preserve"> власник</w:t>
            </w:r>
            <w:r w:rsidR="00D0610B">
              <w:t>ами</w:t>
            </w:r>
            <w:r w:rsidR="00483EB3" w:rsidRPr="00EF7D38">
              <w:t xml:space="preserve"> реєстрацій</w:t>
            </w:r>
            <w:r w:rsidR="00D0610B">
              <w:t xml:space="preserve"> на ліки</w:t>
            </w:r>
            <w:r w:rsidR="00483EB3" w:rsidRPr="00EF7D38">
              <w:t>.</w:t>
            </w:r>
          </w:p>
        </w:tc>
      </w:tr>
      <w:tr w:rsidR="002E173A" w:rsidRPr="00EF7D38" w14:paraId="05E90B5B" w14:textId="77777777" w:rsidTr="00AB2B4E">
        <w:tc>
          <w:tcPr>
            <w:tcW w:w="456" w:type="dxa"/>
          </w:tcPr>
          <w:p w14:paraId="5D75B6F6" w14:textId="5130939E" w:rsidR="008C0C0C" w:rsidRPr="00EF7D38" w:rsidRDefault="005A0DEA" w:rsidP="005A0DEA">
            <w:pPr>
              <w:jc w:val="both"/>
            </w:pPr>
            <w:r w:rsidRPr="00EF7D38">
              <w:lastRenderedPageBreak/>
              <w:t>3</w:t>
            </w:r>
          </w:p>
        </w:tc>
        <w:tc>
          <w:tcPr>
            <w:tcW w:w="4500" w:type="dxa"/>
          </w:tcPr>
          <w:p w14:paraId="07F8EBFD" w14:textId="59E5853D" w:rsidR="008C0C0C" w:rsidRPr="00EF7D38" w:rsidRDefault="008C0C0C" w:rsidP="005A0DEA">
            <w:pPr>
              <w:jc w:val="both"/>
            </w:pPr>
            <w:r w:rsidRPr="00EF7D38">
              <w:t>Скасування «спрощених процедур» реєстрації лікарських засобів із країн</w:t>
            </w:r>
            <w:r w:rsidR="00483EB3" w:rsidRPr="00EF7D38">
              <w:t xml:space="preserve">-членів </w:t>
            </w:r>
            <w:r w:rsidRPr="00EF7D38">
              <w:t>ЄС, США, Японі</w:t>
            </w:r>
            <w:r w:rsidR="00AB2B4E" w:rsidRPr="00EF7D38">
              <w:t>ї</w:t>
            </w:r>
            <w:r w:rsidRPr="00EF7D38">
              <w:t>, Швейцарі</w:t>
            </w:r>
            <w:r w:rsidR="00AB2B4E" w:rsidRPr="00EF7D38">
              <w:t>ї</w:t>
            </w:r>
            <w:r w:rsidRPr="00EF7D38">
              <w:t>, Австралі</w:t>
            </w:r>
            <w:r w:rsidR="00AB2B4E" w:rsidRPr="00EF7D38">
              <w:t>ї</w:t>
            </w:r>
            <w:r w:rsidR="001975E2" w:rsidRPr="00EF7D38">
              <w:t xml:space="preserve"> та</w:t>
            </w:r>
            <w:r w:rsidRPr="00EF7D38">
              <w:t xml:space="preserve"> Канад</w:t>
            </w:r>
            <w:r w:rsidR="00AB2B4E" w:rsidRPr="00EF7D38">
              <w:t>и</w:t>
            </w:r>
            <w:r w:rsidR="001975E2" w:rsidRPr="00EF7D38">
              <w:t>.</w:t>
            </w:r>
          </w:p>
        </w:tc>
        <w:tc>
          <w:tcPr>
            <w:tcW w:w="4495" w:type="dxa"/>
          </w:tcPr>
          <w:p w14:paraId="2D0C3F11" w14:textId="55355AD6" w:rsidR="008C0C0C" w:rsidRPr="00EF7D38" w:rsidRDefault="00041A60" w:rsidP="005A0DEA">
            <w:pPr>
              <w:jc w:val="both"/>
            </w:pPr>
            <w:r w:rsidRPr="00EF7D38">
              <w:t>Зниження доступності</w:t>
            </w:r>
            <w:r w:rsidR="008C0C0C" w:rsidRPr="00EF7D38">
              <w:t xml:space="preserve"> інноваційного лікування</w:t>
            </w:r>
            <w:r w:rsidRPr="00EF7D38">
              <w:t xml:space="preserve"> в Україні</w:t>
            </w:r>
            <w:r w:rsidR="008C0C0C" w:rsidRPr="00EF7D38">
              <w:t>. Обмеження можливостей державних закупівель лікарських засобів через ДП «Медичні закупівлі України»</w:t>
            </w:r>
            <w:r w:rsidR="001975E2" w:rsidRPr="00EF7D38">
              <w:t>.</w:t>
            </w:r>
          </w:p>
          <w:p w14:paraId="7381FC9C" w14:textId="2D951629" w:rsidR="00483EB3" w:rsidRPr="00EF7D38" w:rsidRDefault="00483EB3" w:rsidP="005A0DEA">
            <w:pPr>
              <w:jc w:val="both"/>
            </w:pPr>
            <w:r w:rsidRPr="00EF7D38">
              <w:t>Негативний сигнал для інвесторів клінічних досліджень в Україні.</w:t>
            </w:r>
          </w:p>
        </w:tc>
        <w:tc>
          <w:tcPr>
            <w:tcW w:w="4497" w:type="dxa"/>
          </w:tcPr>
          <w:p w14:paraId="5CC4D33F" w14:textId="1877EE9A" w:rsidR="008C0C0C" w:rsidRPr="00EF7D38" w:rsidRDefault="00483EB3" w:rsidP="005A0DEA">
            <w:pPr>
              <w:jc w:val="both"/>
            </w:pPr>
            <w:r w:rsidRPr="00EF7D38">
              <w:t>З</w:t>
            </w:r>
            <w:r w:rsidR="00041A60" w:rsidRPr="00EF7D38">
              <w:t>берегти прискорений доступ на ринок України інноваційного лікування через механізми спрощеної реєстрації, забезпечивши його ефективність</w:t>
            </w:r>
            <w:r w:rsidR="001975E2" w:rsidRPr="00EF7D38">
              <w:t>.</w:t>
            </w:r>
            <w:r w:rsidR="00236DFD" w:rsidRPr="00EF7D38">
              <w:t xml:space="preserve"> </w:t>
            </w:r>
          </w:p>
        </w:tc>
      </w:tr>
      <w:tr w:rsidR="002E173A" w:rsidRPr="00EF7D38" w14:paraId="3D6EB4C8" w14:textId="77777777" w:rsidTr="00AB2B4E">
        <w:tc>
          <w:tcPr>
            <w:tcW w:w="456" w:type="dxa"/>
          </w:tcPr>
          <w:p w14:paraId="58119624" w14:textId="590B68AE" w:rsidR="00C9110E" w:rsidRPr="00EF7D38" w:rsidRDefault="00041A60" w:rsidP="005A0DEA">
            <w:pPr>
              <w:jc w:val="both"/>
            </w:pPr>
            <w:r w:rsidRPr="00EF7D38">
              <w:t>4</w:t>
            </w:r>
          </w:p>
        </w:tc>
        <w:tc>
          <w:tcPr>
            <w:tcW w:w="4500" w:type="dxa"/>
          </w:tcPr>
          <w:p w14:paraId="35B9B739" w14:textId="456F08C5" w:rsidR="00C9110E" w:rsidRPr="00EF7D38" w:rsidRDefault="00F54DBD" w:rsidP="00F54DBD">
            <w:pPr>
              <w:jc w:val="both"/>
            </w:pPr>
            <w:r w:rsidRPr="00EF7D38">
              <w:t>Введення л</w:t>
            </w:r>
            <w:r w:rsidR="008C0C0C" w:rsidRPr="00EF7D38">
              <w:t>іцензування імпорту досліджуваних лікарських засобів для клінічних досліджень</w:t>
            </w:r>
            <w:r w:rsidR="004F429D">
              <w:rPr>
                <w:lang w:val="en-US"/>
              </w:rPr>
              <w:t xml:space="preserve"> </w:t>
            </w:r>
            <w:r w:rsidR="004F429D">
              <w:t>без повноцінного опрацювання регулювання цього механізму та строків його реалізації</w:t>
            </w:r>
            <w:r w:rsidR="002119A0" w:rsidRPr="00EF7D38">
              <w:t>.</w:t>
            </w:r>
          </w:p>
        </w:tc>
        <w:tc>
          <w:tcPr>
            <w:tcW w:w="4495" w:type="dxa"/>
          </w:tcPr>
          <w:p w14:paraId="30B6DEDF" w14:textId="27925B81" w:rsidR="00C9110E" w:rsidRPr="00EF7D38" w:rsidRDefault="00041A60" w:rsidP="005A0DEA">
            <w:pPr>
              <w:jc w:val="both"/>
            </w:pPr>
            <w:r w:rsidRPr="00EF7D38">
              <w:t>Значне погіршення ситуації із залученням</w:t>
            </w:r>
            <w:r w:rsidR="008C0C0C" w:rsidRPr="00EF7D38">
              <w:t xml:space="preserve"> клінічних випробувань в Україн</w:t>
            </w:r>
            <w:r w:rsidRPr="00EF7D38">
              <w:t>у</w:t>
            </w:r>
            <w:r w:rsidR="008C0C0C" w:rsidRPr="00EF7D38">
              <w:t xml:space="preserve"> та </w:t>
            </w:r>
            <w:r w:rsidR="002D29FB" w:rsidRPr="00EF7D38">
              <w:t>відсутність</w:t>
            </w:r>
            <w:r w:rsidR="008C0C0C" w:rsidRPr="00EF7D38">
              <w:t xml:space="preserve"> приваблив</w:t>
            </w:r>
            <w:r w:rsidR="00AB2B4E" w:rsidRPr="00EF7D38">
              <w:t>о</w:t>
            </w:r>
            <w:r w:rsidR="008C0C0C" w:rsidRPr="00EF7D38">
              <w:t>ст</w:t>
            </w:r>
            <w:r w:rsidR="00AB2B4E" w:rsidRPr="00EF7D38">
              <w:t>і</w:t>
            </w:r>
            <w:r w:rsidR="008C0C0C" w:rsidRPr="00EF7D38">
              <w:t xml:space="preserve"> України для їх проведення. </w:t>
            </w:r>
            <w:r w:rsidR="002D29FB" w:rsidRPr="00EF7D38">
              <w:t>Як</w:t>
            </w:r>
            <w:r w:rsidR="008C0C0C" w:rsidRPr="00EF7D38">
              <w:t xml:space="preserve"> </w:t>
            </w:r>
            <w:r w:rsidR="002119A0" w:rsidRPr="00EF7D38">
              <w:t>наслідок,</w:t>
            </w:r>
            <w:r w:rsidR="00DA1AE2" w:rsidRPr="00EF7D38">
              <w:t xml:space="preserve"> припинення доступу </w:t>
            </w:r>
            <w:r w:rsidR="000C142A" w:rsidRPr="00EF7D38">
              <w:t xml:space="preserve">важкохворих </w:t>
            </w:r>
            <w:r w:rsidR="00DA1AE2" w:rsidRPr="00EF7D38">
              <w:t xml:space="preserve">пацієнтів України до </w:t>
            </w:r>
            <w:r w:rsidR="002D29FB" w:rsidRPr="00EF7D38">
              <w:t>інноваційного</w:t>
            </w:r>
            <w:r w:rsidR="00DA1AE2" w:rsidRPr="00EF7D38">
              <w:t xml:space="preserve"> високотехнологічного лікування</w:t>
            </w:r>
            <w:r w:rsidR="00483EB3" w:rsidRPr="00EF7D38">
              <w:t xml:space="preserve"> і повного супроводу</w:t>
            </w:r>
            <w:r w:rsidR="000C142A" w:rsidRPr="00EF7D38">
              <w:t xml:space="preserve">, яке </w:t>
            </w:r>
            <w:r w:rsidR="00717FA1" w:rsidRPr="00EF7D38">
              <w:t xml:space="preserve">надається їм </w:t>
            </w:r>
            <w:r w:rsidR="000C142A" w:rsidRPr="00EF7D38">
              <w:t>безоплатно</w:t>
            </w:r>
            <w:r w:rsidR="002D29FB" w:rsidRPr="00EF7D38">
              <w:t>.</w:t>
            </w:r>
          </w:p>
        </w:tc>
        <w:tc>
          <w:tcPr>
            <w:tcW w:w="4497" w:type="dxa"/>
          </w:tcPr>
          <w:p w14:paraId="7290F0B1" w14:textId="1AEA99DF" w:rsidR="00C9110E" w:rsidRPr="00EF7D38" w:rsidRDefault="00DA1AE2" w:rsidP="005A0DEA">
            <w:pPr>
              <w:jc w:val="both"/>
            </w:pPr>
            <w:r w:rsidRPr="00EF7D38">
              <w:t>Не вводити такий механізм</w:t>
            </w:r>
            <w:r w:rsidR="00483EB3" w:rsidRPr="00EF7D38">
              <w:t>, що протирічить напрямку розвитку клінічних досліджень, який підтримують в Україні як профільні державні органи влади, так і професійна спільнота</w:t>
            </w:r>
          </w:p>
        </w:tc>
      </w:tr>
      <w:tr w:rsidR="002E173A" w:rsidRPr="00EF7D38" w14:paraId="565FA395" w14:textId="77777777" w:rsidTr="00AB2B4E">
        <w:tc>
          <w:tcPr>
            <w:tcW w:w="456" w:type="dxa"/>
          </w:tcPr>
          <w:p w14:paraId="5B1A2782" w14:textId="3C647FB8" w:rsidR="00C9110E" w:rsidRPr="00EF7D38" w:rsidRDefault="00200507" w:rsidP="005A0DEA">
            <w:pPr>
              <w:jc w:val="both"/>
            </w:pPr>
            <w:r w:rsidRPr="00EF7D38">
              <w:t>5</w:t>
            </w:r>
          </w:p>
        </w:tc>
        <w:tc>
          <w:tcPr>
            <w:tcW w:w="4500" w:type="dxa"/>
          </w:tcPr>
          <w:p w14:paraId="156A91AD" w14:textId="387FD303" w:rsidR="00C9110E" w:rsidRPr="00EF7D38" w:rsidRDefault="00DA1AE2" w:rsidP="005A0DEA">
            <w:pPr>
              <w:jc w:val="both"/>
            </w:pPr>
            <w:r w:rsidRPr="00EF7D38">
              <w:t xml:space="preserve">Відсутність положень, що наразі застосовуються для </w:t>
            </w:r>
            <w:r w:rsidR="00F91493" w:rsidRPr="00EF7D38">
              <w:t>надходження</w:t>
            </w:r>
            <w:r w:rsidR="002C3E82" w:rsidRPr="00EF7D38">
              <w:t xml:space="preserve"> в Україну </w:t>
            </w:r>
            <w:r w:rsidRPr="00EF7D38">
              <w:t xml:space="preserve">вакцин та препаратів від </w:t>
            </w:r>
            <w:r w:rsidR="000C142A" w:rsidRPr="00EF7D38">
              <w:t>COVID-19</w:t>
            </w:r>
            <w:r w:rsidR="004F429D">
              <w:t xml:space="preserve"> та їх клінічних досліджень</w:t>
            </w:r>
            <w:r w:rsidRPr="00EF7D38">
              <w:t xml:space="preserve">. Наприклад, щодо можливості ввезення препаратів </w:t>
            </w:r>
            <w:r w:rsidR="00AB2B4E" w:rsidRPr="00EF7D38">
              <w:t>в іноземних</w:t>
            </w:r>
            <w:r w:rsidRPr="00EF7D38">
              <w:t xml:space="preserve"> упаковка</w:t>
            </w:r>
            <w:r w:rsidR="00AB2B4E" w:rsidRPr="00EF7D38">
              <w:t>х</w:t>
            </w:r>
            <w:r w:rsidRPr="00EF7D38">
              <w:t xml:space="preserve"> </w:t>
            </w:r>
            <w:r w:rsidR="00AB2B4E" w:rsidRPr="00EF7D38">
              <w:t>(</w:t>
            </w:r>
            <w:r w:rsidR="008C0AAB" w:rsidRPr="00EF7D38">
              <w:t>з текстом маркування на інших мовах</w:t>
            </w:r>
            <w:r w:rsidR="000C142A" w:rsidRPr="00EF7D38">
              <w:t>, але у супроводі перекладу укр</w:t>
            </w:r>
            <w:r w:rsidR="000E3C3D" w:rsidRPr="00EF7D38">
              <w:t xml:space="preserve">аїнською </w:t>
            </w:r>
            <w:r w:rsidR="000C142A" w:rsidRPr="00EF7D38">
              <w:t>мовою</w:t>
            </w:r>
            <w:r w:rsidR="00AB2B4E" w:rsidRPr="00EF7D38">
              <w:t>)</w:t>
            </w:r>
            <w:r w:rsidRPr="00EF7D38">
              <w:t>.</w:t>
            </w:r>
          </w:p>
        </w:tc>
        <w:tc>
          <w:tcPr>
            <w:tcW w:w="4495" w:type="dxa"/>
          </w:tcPr>
          <w:p w14:paraId="34635F75" w14:textId="0B752A03" w:rsidR="00C9110E" w:rsidRPr="00EF7D38" w:rsidRDefault="00041A60" w:rsidP="005A0DEA">
            <w:pPr>
              <w:jc w:val="both"/>
            </w:pPr>
            <w:r w:rsidRPr="00EF7D38">
              <w:t>Відсутність доступу до найновітнішого лікування від COVID-19.</w:t>
            </w:r>
          </w:p>
        </w:tc>
        <w:tc>
          <w:tcPr>
            <w:tcW w:w="4497" w:type="dxa"/>
          </w:tcPr>
          <w:p w14:paraId="6351DB87" w14:textId="3EA8C282" w:rsidR="00C9110E" w:rsidRPr="00EF7D38" w:rsidRDefault="00DA1AE2" w:rsidP="005A0DEA">
            <w:pPr>
              <w:jc w:val="both"/>
            </w:pPr>
            <w:r w:rsidRPr="00EF7D38">
              <w:t xml:space="preserve">Передбачити відповідні положення, що наразі впровадженні в </w:t>
            </w:r>
            <w:r w:rsidR="00A94F08" w:rsidRPr="00EF7D38">
              <w:t xml:space="preserve">чинному </w:t>
            </w:r>
            <w:r w:rsidRPr="00EF7D38">
              <w:t>З</w:t>
            </w:r>
            <w:r w:rsidR="000E3C3D" w:rsidRPr="00EF7D38">
              <w:t xml:space="preserve">аконі </w:t>
            </w:r>
            <w:r w:rsidRPr="00EF7D38">
              <w:t>У</w:t>
            </w:r>
            <w:r w:rsidR="000E3C3D" w:rsidRPr="00EF7D38">
              <w:t>країни</w:t>
            </w:r>
            <w:r w:rsidRPr="00EF7D38">
              <w:t xml:space="preserve"> «Про лікарські засоби»</w:t>
            </w:r>
            <w:r w:rsidR="00200507" w:rsidRPr="00EF7D38">
              <w:t>, деталізувати положення щодо лікарських засобів для лікування COVID-19</w:t>
            </w:r>
            <w:r w:rsidR="000E3C3D" w:rsidRPr="00EF7D38">
              <w:t>.</w:t>
            </w:r>
          </w:p>
        </w:tc>
      </w:tr>
      <w:tr w:rsidR="002E173A" w:rsidRPr="00EF7D38" w14:paraId="1E0C34FA" w14:textId="77777777" w:rsidTr="00AB2B4E">
        <w:tc>
          <w:tcPr>
            <w:tcW w:w="456" w:type="dxa"/>
          </w:tcPr>
          <w:p w14:paraId="49731711" w14:textId="5491F4E1" w:rsidR="00735EE5" w:rsidRPr="00EF7D38" w:rsidRDefault="00200507" w:rsidP="005A0DEA">
            <w:pPr>
              <w:jc w:val="both"/>
            </w:pPr>
            <w:r w:rsidRPr="00EF7D38">
              <w:t>6</w:t>
            </w:r>
          </w:p>
        </w:tc>
        <w:tc>
          <w:tcPr>
            <w:tcW w:w="4500" w:type="dxa"/>
          </w:tcPr>
          <w:p w14:paraId="5F48CE6D" w14:textId="5352A7DA" w:rsidR="00735EE5" w:rsidRPr="00EF7D38" w:rsidRDefault="00735EE5" w:rsidP="005A0DEA">
            <w:pPr>
              <w:jc w:val="both"/>
            </w:pPr>
            <w:r w:rsidRPr="00EF7D38">
              <w:t>Відсутність положень, що стимулю</w:t>
            </w:r>
            <w:r w:rsidR="00F91493" w:rsidRPr="00EF7D38">
              <w:t>вали б</w:t>
            </w:r>
            <w:r w:rsidRPr="00EF7D38">
              <w:t xml:space="preserve"> вихід на ринок України інноваційних виробників лікарських засобів</w:t>
            </w:r>
            <w:r w:rsidR="00AB2B4E" w:rsidRPr="00EF7D38">
              <w:t>.</w:t>
            </w:r>
            <w:r w:rsidRPr="00EF7D38">
              <w:t xml:space="preserve"> </w:t>
            </w:r>
            <w:r w:rsidR="00AB2B4E" w:rsidRPr="00EF7D38">
              <w:t>Н</w:t>
            </w:r>
            <w:r w:rsidRPr="00EF7D38">
              <w:t xml:space="preserve">ечіткі положення щодо захисту інтелектуальної </w:t>
            </w:r>
            <w:r w:rsidR="00AB2B4E" w:rsidRPr="00EF7D38">
              <w:t>власності</w:t>
            </w:r>
            <w:r w:rsidRPr="00EF7D38">
              <w:t>.</w:t>
            </w:r>
          </w:p>
        </w:tc>
        <w:tc>
          <w:tcPr>
            <w:tcW w:w="4495" w:type="dxa"/>
          </w:tcPr>
          <w:p w14:paraId="072410FB" w14:textId="24FE39A1" w:rsidR="00735EE5" w:rsidRPr="00EF7D38" w:rsidRDefault="00735EE5" w:rsidP="005A0DEA">
            <w:pPr>
              <w:jc w:val="both"/>
            </w:pPr>
            <w:r w:rsidRPr="00EF7D38">
              <w:t>Подальший низький рівень доступу пацієнтів до новітнього лікування.</w:t>
            </w:r>
            <w:r w:rsidR="00A94F08" w:rsidRPr="00EF7D38">
              <w:t xml:space="preserve"> </w:t>
            </w:r>
            <w:r w:rsidR="00200507" w:rsidRPr="00EF7D38">
              <w:t>Н</w:t>
            </w:r>
            <w:r w:rsidR="00A94F08" w:rsidRPr="00EF7D38">
              <w:t xml:space="preserve">евиконання положень Угоди про </w:t>
            </w:r>
            <w:r w:rsidR="00F91493" w:rsidRPr="00EF7D38">
              <w:t>А</w:t>
            </w:r>
            <w:r w:rsidR="00A94F08" w:rsidRPr="00EF7D38">
              <w:t>соціацію з ЄС в частині захисту інтелектуальної власності</w:t>
            </w:r>
            <w:r w:rsidR="00F91493" w:rsidRPr="00EF7D38">
              <w:t>, ексклюзивності даних</w:t>
            </w:r>
            <w:r w:rsidR="00A94F08" w:rsidRPr="00EF7D38">
              <w:t>.</w:t>
            </w:r>
          </w:p>
        </w:tc>
        <w:tc>
          <w:tcPr>
            <w:tcW w:w="4497" w:type="dxa"/>
          </w:tcPr>
          <w:p w14:paraId="0DAC1772" w14:textId="5811DADB" w:rsidR="00735EE5" w:rsidRPr="00EF7D38" w:rsidRDefault="00200507">
            <w:pPr>
              <w:jc w:val="both"/>
            </w:pPr>
            <w:r w:rsidRPr="00EF7D38">
              <w:t>Приведення положень у відповідність до законодавства ЄС та міжнародних зобов’язань України</w:t>
            </w:r>
            <w:r w:rsidR="00735EE5" w:rsidRPr="00EF7D38">
              <w:t xml:space="preserve">. Впровадження державної підтримки доступу </w:t>
            </w:r>
            <w:r w:rsidR="00160204" w:rsidRPr="00EF7D38">
              <w:t xml:space="preserve">чи створення </w:t>
            </w:r>
            <w:r w:rsidR="00735EE5" w:rsidRPr="00EF7D38">
              <w:t>інноваційних ліків.</w:t>
            </w:r>
          </w:p>
        </w:tc>
      </w:tr>
      <w:tr w:rsidR="00A94F08" w:rsidRPr="00EF7D38" w14:paraId="27C22CF1" w14:textId="77777777" w:rsidTr="00AB2B4E">
        <w:tc>
          <w:tcPr>
            <w:tcW w:w="456" w:type="dxa"/>
          </w:tcPr>
          <w:p w14:paraId="251680C1" w14:textId="1719CE68" w:rsidR="00A94F08" w:rsidRPr="00EF7D38" w:rsidRDefault="00200507" w:rsidP="005A0DEA">
            <w:pPr>
              <w:jc w:val="both"/>
            </w:pPr>
            <w:r w:rsidRPr="00EF7D38">
              <w:lastRenderedPageBreak/>
              <w:t>7</w:t>
            </w:r>
          </w:p>
        </w:tc>
        <w:tc>
          <w:tcPr>
            <w:tcW w:w="4500" w:type="dxa"/>
          </w:tcPr>
          <w:p w14:paraId="6B564174" w14:textId="4CB7A138" w:rsidR="00A94F08" w:rsidRPr="00EF7D38" w:rsidRDefault="00A94F08" w:rsidP="005A0DEA">
            <w:pPr>
              <w:jc w:val="both"/>
            </w:pPr>
            <w:r w:rsidRPr="00EF7D38">
              <w:t>Нечіткі вимоги до процедури реєстрації генеричних лікарських засобів, підтвердження їх терапевтичної еквівалентності (у визначених випадках шляхом підтвердження біоеквівалентності).</w:t>
            </w:r>
          </w:p>
        </w:tc>
        <w:tc>
          <w:tcPr>
            <w:tcW w:w="4495" w:type="dxa"/>
          </w:tcPr>
          <w:p w14:paraId="16A5CE9C" w14:textId="4E3E4DBB" w:rsidR="00A94F08" w:rsidRPr="00EF7D38" w:rsidRDefault="00A94F08" w:rsidP="005A0DEA">
            <w:pPr>
              <w:jc w:val="both"/>
            </w:pPr>
            <w:r w:rsidRPr="00EF7D38">
              <w:t>Можливість подальшо</w:t>
            </w:r>
            <w:r w:rsidR="00D0610B">
              <w:t>ї</w:t>
            </w:r>
            <w:r w:rsidRPr="00EF7D38">
              <w:t xml:space="preserve"> реєстрації та обігу препаратів з недоведеною ефективністю, </w:t>
            </w:r>
            <w:r w:rsidR="009B7184" w:rsidRPr="00EF7D38">
              <w:t xml:space="preserve">нераціональні витрати </w:t>
            </w:r>
            <w:r w:rsidRPr="00EF7D38">
              <w:t>коштів пацієнтів та держави на такі препарати.</w:t>
            </w:r>
          </w:p>
          <w:p w14:paraId="6719FB12" w14:textId="30B34963" w:rsidR="009B7184" w:rsidRPr="00EF7D38" w:rsidRDefault="009B7184" w:rsidP="005A0DEA">
            <w:pPr>
              <w:jc w:val="both"/>
            </w:pPr>
          </w:p>
        </w:tc>
        <w:tc>
          <w:tcPr>
            <w:tcW w:w="4497" w:type="dxa"/>
          </w:tcPr>
          <w:p w14:paraId="6AC1CC29" w14:textId="70AD5B3B" w:rsidR="00A94F08" w:rsidRPr="00EF7D38" w:rsidRDefault="00A94F08">
            <w:pPr>
              <w:jc w:val="both"/>
            </w:pPr>
            <w:r w:rsidRPr="00EF7D38">
              <w:t>Приведення зазначених вимог до сучасних міжнародних стандартів, зокрема</w:t>
            </w:r>
            <w:r w:rsidR="00F91493" w:rsidRPr="00EF7D38">
              <w:t>,</w:t>
            </w:r>
            <w:r w:rsidRPr="00EF7D38">
              <w:t xml:space="preserve"> Директиви 2001/83/ЄС.</w:t>
            </w:r>
          </w:p>
        </w:tc>
      </w:tr>
      <w:tr w:rsidR="002E173A" w:rsidRPr="00EF7D38" w14:paraId="3443999B" w14:textId="77777777" w:rsidTr="00AB2B4E">
        <w:tc>
          <w:tcPr>
            <w:tcW w:w="456" w:type="dxa"/>
          </w:tcPr>
          <w:p w14:paraId="2E13674B" w14:textId="41E20968" w:rsidR="00C9110E" w:rsidRPr="00EF7D38" w:rsidRDefault="00AB2B4E" w:rsidP="005A0DEA">
            <w:pPr>
              <w:jc w:val="both"/>
            </w:pPr>
            <w:r w:rsidRPr="00EF7D38">
              <w:t>8</w:t>
            </w:r>
          </w:p>
        </w:tc>
        <w:tc>
          <w:tcPr>
            <w:tcW w:w="4500" w:type="dxa"/>
          </w:tcPr>
          <w:p w14:paraId="396E6BC2" w14:textId="32276EBF" w:rsidR="00C9110E" w:rsidRPr="00EF7D38" w:rsidRDefault="00DA1AE2" w:rsidP="005A0DEA">
            <w:pPr>
              <w:jc w:val="both"/>
            </w:pPr>
            <w:r w:rsidRPr="00EF7D38">
              <w:t xml:space="preserve">Передача всіх функцій у сферах розробки, виробництва та обігу лікарських засобів, що охоплюють контроль, державну реєстрацію </w:t>
            </w:r>
            <w:r w:rsidR="00073CD2" w:rsidRPr="00EF7D38">
              <w:t>лікарських засобів</w:t>
            </w:r>
            <w:r w:rsidRPr="00EF7D38">
              <w:t xml:space="preserve">, експертизу реєстраційних матеріалів, інспектування виробництва, аудит та ліцензування виробників </w:t>
            </w:r>
            <w:r w:rsidR="00A94F08" w:rsidRPr="00EF7D38">
              <w:t>органу</w:t>
            </w:r>
            <w:r w:rsidR="00631578" w:rsidRPr="00EF7D38">
              <w:t>, що може бути створений шляхом реорганізації Держлікслужби</w:t>
            </w:r>
            <w:r w:rsidR="00324061" w:rsidRPr="00EF7D38">
              <w:t xml:space="preserve">. </w:t>
            </w:r>
            <w:r w:rsidR="00A94F08" w:rsidRPr="00EF7D38">
              <w:t>Одночасно, в</w:t>
            </w:r>
            <w:r w:rsidR="00324061" w:rsidRPr="00EF7D38">
              <w:t>ідсутн</w:t>
            </w:r>
            <w:r w:rsidR="005B2EA3" w:rsidRPr="00EF7D38">
              <w:t>ість</w:t>
            </w:r>
            <w:r w:rsidR="00324061" w:rsidRPr="00EF7D38">
              <w:t xml:space="preserve"> положень щодо прозорого </w:t>
            </w:r>
            <w:r w:rsidR="00A94F08" w:rsidRPr="00EF7D38">
              <w:t>призначення</w:t>
            </w:r>
            <w:r w:rsidR="00324061" w:rsidRPr="00EF7D38">
              <w:t xml:space="preserve"> керівництва, кадрового складу та фінансування. Неврахування пропозиції в межах проєкту </w:t>
            </w:r>
            <w:r w:rsidR="00A94F08" w:rsidRPr="00EF7D38">
              <w:t xml:space="preserve">Європейського Банку Реконструкції та Розвитку </w:t>
            </w:r>
            <w:r w:rsidR="00324061" w:rsidRPr="00EF7D38">
              <w:t>«Консультування щодо регуляторних змін у фармацевтичному секторі України»</w:t>
            </w:r>
            <w:r w:rsidR="00324061" w:rsidRPr="00EF7D38">
              <w:rPr>
                <w:rStyle w:val="a6"/>
              </w:rPr>
              <w:footnoteReference w:id="1"/>
            </w:r>
            <w:r w:rsidR="00324061" w:rsidRPr="00EF7D38">
              <w:t xml:space="preserve"> </w:t>
            </w:r>
            <w:r w:rsidR="00A94F08" w:rsidRPr="00EF7D38">
              <w:t>технічної допомоги</w:t>
            </w:r>
            <w:r w:rsidR="00324061" w:rsidRPr="00EF7D38">
              <w:t xml:space="preserve"> Міністерств</w:t>
            </w:r>
            <w:r w:rsidR="00A94F08" w:rsidRPr="00EF7D38">
              <w:t>у</w:t>
            </w:r>
            <w:r w:rsidR="00324061" w:rsidRPr="00EF7D38">
              <w:t xml:space="preserve"> охорони здоров’я України.</w:t>
            </w:r>
          </w:p>
        </w:tc>
        <w:tc>
          <w:tcPr>
            <w:tcW w:w="4495" w:type="dxa"/>
          </w:tcPr>
          <w:p w14:paraId="5C28BE34" w14:textId="7934D8D8" w:rsidR="00C9110E" w:rsidRPr="00EF7D38" w:rsidRDefault="00324061" w:rsidP="001476D0">
            <w:pPr>
              <w:jc w:val="both"/>
            </w:pPr>
            <w:r w:rsidRPr="00EF7D38">
              <w:t>Поглиблення вже наявної наразі криз</w:t>
            </w:r>
            <w:r w:rsidR="009B7184" w:rsidRPr="00EF7D38">
              <w:t>и у</w:t>
            </w:r>
            <w:r w:rsidRPr="00EF7D38">
              <w:t xml:space="preserve"> діяльності</w:t>
            </w:r>
            <w:r w:rsidR="00B66892" w:rsidRPr="00EF7D38">
              <w:t xml:space="preserve"> </w:t>
            </w:r>
            <w:r w:rsidR="00A94F08" w:rsidRPr="00EF7D38">
              <w:t xml:space="preserve">контролюючого органу – </w:t>
            </w:r>
            <w:r w:rsidRPr="00EF7D38">
              <w:t>Держлікслужби</w:t>
            </w:r>
            <w:r w:rsidR="009B7184" w:rsidRPr="00EF7D38">
              <w:t xml:space="preserve"> </w:t>
            </w:r>
            <w:r w:rsidR="002505CC" w:rsidRPr="00EF7D38">
              <w:t>–</w:t>
            </w:r>
            <w:r w:rsidR="00A94F08" w:rsidRPr="00EF7D38">
              <w:t xml:space="preserve"> зокрема</w:t>
            </w:r>
            <w:r w:rsidR="009B7184" w:rsidRPr="00EF7D38">
              <w:t>, наявність</w:t>
            </w:r>
            <w:r w:rsidR="00A94F08" w:rsidRPr="00EF7D38">
              <w:t xml:space="preserve"> </w:t>
            </w:r>
            <w:r w:rsidRPr="00EF7D38">
              <w:t>затримок у здійсненні процедур,</w:t>
            </w:r>
            <w:r w:rsidR="000C142A" w:rsidRPr="00EF7D38">
              <w:t xml:space="preserve"> </w:t>
            </w:r>
            <w:r w:rsidR="00A94F08" w:rsidRPr="00EF7D38">
              <w:t>відставання у</w:t>
            </w:r>
            <w:r w:rsidR="000C142A" w:rsidRPr="00EF7D38">
              <w:t xml:space="preserve"> </w:t>
            </w:r>
            <w:proofErr w:type="spellStart"/>
            <w:r w:rsidR="000C142A" w:rsidRPr="00EF7D38">
              <w:t>діджиталізаці</w:t>
            </w:r>
            <w:r w:rsidR="00A94F08" w:rsidRPr="00EF7D38">
              <w:t>ї</w:t>
            </w:r>
            <w:proofErr w:type="spellEnd"/>
            <w:r w:rsidR="000C142A" w:rsidRPr="00EF7D38">
              <w:t xml:space="preserve"> діяльності</w:t>
            </w:r>
            <w:r w:rsidR="009B7184" w:rsidRPr="00EF7D38">
              <w:t xml:space="preserve">, недостатність </w:t>
            </w:r>
            <w:r w:rsidR="000F1E1F" w:rsidRPr="00EF7D38">
              <w:t>професійних людських ресурсів</w:t>
            </w:r>
            <w:r w:rsidR="005A4CA4" w:rsidRPr="00EF7D38">
              <w:t xml:space="preserve">. </w:t>
            </w:r>
            <w:r w:rsidR="00631578" w:rsidRPr="00EF7D38">
              <w:t>Загроз</w:t>
            </w:r>
            <w:r w:rsidR="000F1E1F" w:rsidRPr="00EF7D38">
              <w:t>а</w:t>
            </w:r>
            <w:r w:rsidR="00631578" w:rsidRPr="00EF7D38">
              <w:t xml:space="preserve"> втрати компетенції та </w:t>
            </w:r>
            <w:r w:rsidR="005A4CA4" w:rsidRPr="00EF7D38">
              <w:t>потенціал</w:t>
            </w:r>
            <w:r w:rsidR="00631578" w:rsidRPr="00EF7D38">
              <w:t>у ДП «Державний експертний центр МОЗ України» через фактичну його ліквідацію.</w:t>
            </w:r>
          </w:p>
        </w:tc>
        <w:tc>
          <w:tcPr>
            <w:tcW w:w="4497" w:type="dxa"/>
          </w:tcPr>
          <w:p w14:paraId="54094E14" w14:textId="54103609" w:rsidR="00631578" w:rsidRPr="00EF7D38" w:rsidRDefault="00631578" w:rsidP="005A0DEA">
            <w:pPr>
              <w:jc w:val="both"/>
            </w:pPr>
            <w:r w:rsidRPr="00EF7D38">
              <w:t xml:space="preserve">Створення нового єдиного регуляторного органу з лікарських засобів «з нуля» із наданням йому спеціального статусу; чіткі конкурсні процедури призначення керівництва органу; пряме визначення джерел фінансування і оцінка їх як «достатніх» для його самостійного функціонування; повна </w:t>
            </w:r>
            <w:proofErr w:type="spellStart"/>
            <w:r w:rsidRPr="00EF7D38">
              <w:t>діджиталізація</w:t>
            </w:r>
            <w:proofErr w:type="spellEnd"/>
            <w:r w:rsidRPr="00EF7D38">
              <w:t xml:space="preserve"> всіх послуг та процесів (в тому числі запровадження </w:t>
            </w:r>
            <w:proofErr w:type="spellStart"/>
            <w:r w:rsidRPr="00EF7D38">
              <w:t>eCTD</w:t>
            </w:r>
            <w:proofErr w:type="spellEnd"/>
            <w:r w:rsidRPr="00EF7D38">
              <w:t xml:space="preserve"> формату); визначення механізмів громадського контролю за діяльністю органу (наприклад, через формування Ради громадського контролю) та уникнення конфлікту інтересів; закріплення процедури адміністративного оскарження рішень нового органу.</w:t>
            </w:r>
          </w:p>
          <w:p w14:paraId="2215AABB" w14:textId="6D5E41A5" w:rsidR="00C9110E" w:rsidRPr="00EF7D38" w:rsidRDefault="00324061" w:rsidP="005A0DEA">
            <w:pPr>
              <w:jc w:val="both"/>
            </w:pPr>
            <w:proofErr w:type="spellStart"/>
            <w:r w:rsidRPr="00EF7D38">
              <w:t>Імплемент</w:t>
            </w:r>
            <w:r w:rsidR="00B66892" w:rsidRPr="00EF7D38">
              <w:t>увати</w:t>
            </w:r>
            <w:proofErr w:type="spellEnd"/>
            <w:r w:rsidRPr="00EF7D38">
              <w:t xml:space="preserve"> рекомендаці</w:t>
            </w:r>
            <w:r w:rsidR="00B66892" w:rsidRPr="00EF7D38">
              <w:t>ї</w:t>
            </w:r>
            <w:r w:rsidRPr="00EF7D38">
              <w:t>, що були надані ЄБРР (та викладені у підготовленому ЄБРР Законопро</w:t>
            </w:r>
            <w:r w:rsidR="00B66892" w:rsidRPr="00EF7D38">
              <w:t>є</w:t>
            </w:r>
            <w:r w:rsidRPr="00EF7D38">
              <w:t xml:space="preserve">кті) за результатами проєкту «Консультування </w:t>
            </w:r>
            <w:r w:rsidRPr="00EF7D38">
              <w:lastRenderedPageBreak/>
              <w:t>щодо регуляторних змін у фармацевтичному секторі України»</w:t>
            </w:r>
            <w:r w:rsidR="001476D0" w:rsidRPr="00EF7D38">
              <w:t xml:space="preserve"> </w:t>
            </w:r>
            <w:r w:rsidR="00250736" w:rsidRPr="00EF7D38">
              <w:t>й</w:t>
            </w:r>
            <w:r w:rsidR="001476D0" w:rsidRPr="00EF7D38">
              <w:t xml:space="preserve"> стосувались того самого питання – створення єдиного органу в фарм</w:t>
            </w:r>
            <w:r w:rsidR="006972EE" w:rsidRPr="00EF7D38">
              <w:t xml:space="preserve">ацевтичній </w:t>
            </w:r>
            <w:r w:rsidR="001476D0" w:rsidRPr="00EF7D38">
              <w:t>сфері.</w:t>
            </w:r>
          </w:p>
        </w:tc>
      </w:tr>
      <w:tr w:rsidR="00631578" w:rsidRPr="00EF7D38" w14:paraId="3EC4F42E" w14:textId="77777777" w:rsidTr="00AB2B4E">
        <w:tc>
          <w:tcPr>
            <w:tcW w:w="456" w:type="dxa"/>
          </w:tcPr>
          <w:p w14:paraId="7F1C9731" w14:textId="24D853F1" w:rsidR="00631578" w:rsidRPr="00EF7D38" w:rsidRDefault="00631578" w:rsidP="005A0DEA">
            <w:pPr>
              <w:jc w:val="both"/>
            </w:pPr>
            <w:r w:rsidRPr="00EF7D38">
              <w:lastRenderedPageBreak/>
              <w:t>9</w:t>
            </w:r>
          </w:p>
        </w:tc>
        <w:tc>
          <w:tcPr>
            <w:tcW w:w="4500" w:type="dxa"/>
          </w:tcPr>
          <w:p w14:paraId="06E13854" w14:textId="5E820A50" w:rsidR="00631578" w:rsidRPr="00EF7D38" w:rsidRDefault="000F1E1F" w:rsidP="005A0DEA">
            <w:pPr>
              <w:jc w:val="both"/>
            </w:pPr>
            <w:r w:rsidRPr="00EF7D38">
              <w:t>Відсутність</w:t>
            </w:r>
            <w:r w:rsidR="00631578" w:rsidRPr="00EF7D38">
              <w:t xml:space="preserve"> чітк</w:t>
            </w:r>
            <w:r w:rsidRPr="00EF7D38">
              <w:t>о визначен</w:t>
            </w:r>
            <w:r w:rsidR="00631578" w:rsidRPr="00EF7D38">
              <w:t>их підстав для здійснення заходів державного контролю та нагляду. Дублювання видів державного регулювання</w:t>
            </w:r>
            <w:r w:rsidR="00200507" w:rsidRPr="00EF7D38">
              <w:t>, нагляду</w:t>
            </w:r>
            <w:r w:rsidR="00631578" w:rsidRPr="00EF7D38">
              <w:t xml:space="preserve"> та контролю. Відсутність «ризик-орієнтовних» підходів державного контролю. Подальше існування прогалини щодо контролю за «сірим» та «чорним» ринком.</w:t>
            </w:r>
          </w:p>
        </w:tc>
        <w:tc>
          <w:tcPr>
            <w:tcW w:w="4495" w:type="dxa"/>
          </w:tcPr>
          <w:p w14:paraId="093AA165" w14:textId="7B6FD911" w:rsidR="00631578" w:rsidRPr="00EF7D38" w:rsidRDefault="00631578" w:rsidP="005A0DEA">
            <w:pPr>
              <w:jc w:val="both"/>
            </w:pPr>
            <w:r w:rsidRPr="00EF7D38">
              <w:t xml:space="preserve">Наразі майже повністю відсутня узгоджена активна діяльність державних </w:t>
            </w:r>
            <w:r w:rsidR="00200507" w:rsidRPr="00EF7D38">
              <w:t>органів</w:t>
            </w:r>
            <w:r w:rsidRPr="00EF7D38">
              <w:t xml:space="preserve"> щодо боротьби з «сірим» та «чорним» ринком, в тому числі в мережі Інтернет, </w:t>
            </w:r>
            <w:r w:rsidR="000F1E1F" w:rsidRPr="00EF7D38">
              <w:t xml:space="preserve">що </w:t>
            </w:r>
            <w:r w:rsidRPr="00EF7D38">
              <w:t>несе пряму загрозу здоров’ю пацієнтів. Повноваження Держлікслужби фактично розповсюджуються тільки на ліцензіатів.</w:t>
            </w:r>
          </w:p>
        </w:tc>
        <w:tc>
          <w:tcPr>
            <w:tcW w:w="4497" w:type="dxa"/>
          </w:tcPr>
          <w:p w14:paraId="294E5FFB" w14:textId="4EFA6AEE" w:rsidR="00631578" w:rsidRPr="00EF7D38" w:rsidRDefault="00A26AAF" w:rsidP="005A0DEA">
            <w:pPr>
              <w:jc w:val="both"/>
            </w:pPr>
            <w:r w:rsidRPr="00EF7D38">
              <w:t xml:space="preserve">Визначення </w:t>
            </w:r>
            <w:r w:rsidR="00631578" w:rsidRPr="00EF7D38">
              <w:t xml:space="preserve">повноважень нового регуляторного органу </w:t>
            </w:r>
            <w:r w:rsidRPr="00EF7D38">
              <w:t>щодо</w:t>
            </w:r>
            <w:r w:rsidR="00631578" w:rsidRPr="00EF7D38">
              <w:t xml:space="preserve"> боротьб</w:t>
            </w:r>
            <w:r w:rsidRPr="00EF7D38">
              <w:t>и</w:t>
            </w:r>
            <w:r w:rsidR="00631578" w:rsidRPr="00EF7D38">
              <w:t xml:space="preserve"> з «сірим» та «чорним» ринком, щодо ліцензіатів – ризик-орієнтовний підхід.</w:t>
            </w:r>
          </w:p>
        </w:tc>
      </w:tr>
      <w:tr w:rsidR="002E173A" w:rsidRPr="00EF7D38" w14:paraId="51CFA482" w14:textId="77777777" w:rsidTr="00AB2B4E">
        <w:tc>
          <w:tcPr>
            <w:tcW w:w="456" w:type="dxa"/>
          </w:tcPr>
          <w:p w14:paraId="2068A8B3" w14:textId="77E51AAD" w:rsidR="00C9110E" w:rsidRPr="00EF7D38" w:rsidRDefault="005A0DEA" w:rsidP="005A0DEA">
            <w:pPr>
              <w:jc w:val="both"/>
            </w:pPr>
            <w:r w:rsidRPr="00EF7D38">
              <w:t>1</w:t>
            </w:r>
            <w:r w:rsidR="00D0610B">
              <w:t>0</w:t>
            </w:r>
          </w:p>
        </w:tc>
        <w:tc>
          <w:tcPr>
            <w:tcW w:w="4500" w:type="dxa"/>
          </w:tcPr>
          <w:p w14:paraId="6A1CA940" w14:textId="75F48579" w:rsidR="00C9110E" w:rsidRPr="00EF7D38" w:rsidRDefault="00324061" w:rsidP="005A0DEA">
            <w:pPr>
              <w:jc w:val="both"/>
            </w:pPr>
            <w:r w:rsidRPr="00EF7D38">
              <w:t xml:space="preserve">Відсутність </w:t>
            </w:r>
            <w:r w:rsidR="00BB1413" w:rsidRPr="00EF7D38">
              <w:t xml:space="preserve">основного компоненту </w:t>
            </w:r>
            <w:r w:rsidRPr="00EF7D38">
              <w:t>«</w:t>
            </w:r>
            <w:proofErr w:type="spellStart"/>
            <w:r w:rsidRPr="00EF7D38">
              <w:t>діджиталізації</w:t>
            </w:r>
            <w:proofErr w:type="spellEnd"/>
            <w:r w:rsidRPr="00EF7D38">
              <w:t>» у фармацевтичній сфері</w:t>
            </w:r>
            <w:r w:rsidR="00BB1413" w:rsidRPr="00EF7D38">
              <w:t xml:space="preserve"> – </w:t>
            </w:r>
            <w:r w:rsidRPr="00EF7D38">
              <w:rPr>
                <w:rStyle w:val="normaltextrun"/>
              </w:rPr>
              <w:t>впровадження</w:t>
            </w:r>
            <w:r w:rsidR="00AB2B4E" w:rsidRPr="00EF7D38">
              <w:rPr>
                <w:rStyle w:val="normaltextrun"/>
              </w:rPr>
              <w:t xml:space="preserve"> </w:t>
            </w:r>
            <w:r w:rsidRPr="00EF7D38">
              <w:rPr>
                <w:rStyle w:val="normaltextrun"/>
              </w:rPr>
              <w:t>електронного подання</w:t>
            </w:r>
            <w:r w:rsidR="00AB2B4E" w:rsidRPr="00EF7D38">
              <w:rPr>
                <w:rStyle w:val="normaltextrun"/>
              </w:rPr>
              <w:t xml:space="preserve"> </w:t>
            </w:r>
            <w:r w:rsidRPr="00EF7D38">
              <w:rPr>
                <w:rStyle w:val="normaltextrun"/>
              </w:rPr>
              <w:t>реєстраційних матеріалів</w:t>
            </w:r>
            <w:r w:rsidR="00AB2B4E" w:rsidRPr="00EF7D38">
              <w:rPr>
                <w:rStyle w:val="normaltextrun"/>
              </w:rPr>
              <w:t xml:space="preserve"> </w:t>
            </w:r>
            <w:r w:rsidRPr="00EF7D38">
              <w:rPr>
                <w:rStyle w:val="normaltextrun"/>
              </w:rPr>
              <w:t>на лікарські засоби та матеріалів</w:t>
            </w:r>
            <w:r w:rsidR="00AB2B4E" w:rsidRPr="00EF7D38">
              <w:rPr>
                <w:rStyle w:val="normaltextrun"/>
              </w:rPr>
              <w:t xml:space="preserve"> </w:t>
            </w:r>
            <w:r w:rsidRPr="00EF7D38">
              <w:rPr>
                <w:rStyle w:val="normaltextrun"/>
              </w:rPr>
              <w:t>клінічних досліджень (</w:t>
            </w:r>
            <w:proofErr w:type="spellStart"/>
            <w:r w:rsidRPr="00EF7D38">
              <w:rPr>
                <w:rStyle w:val="spellingerror"/>
              </w:rPr>
              <w:t>eCTD</w:t>
            </w:r>
            <w:proofErr w:type="spellEnd"/>
            <w:r w:rsidR="00AB2B4E" w:rsidRPr="00EF7D38">
              <w:rPr>
                <w:rStyle w:val="spellingerror"/>
              </w:rPr>
              <w:t xml:space="preserve"> </w:t>
            </w:r>
            <w:r w:rsidRPr="00EF7D38">
              <w:rPr>
                <w:rStyle w:val="normaltextrun"/>
              </w:rPr>
              <w:t>формат), а також повноцін</w:t>
            </w:r>
            <w:r w:rsidR="00250736" w:rsidRPr="00EF7D38">
              <w:rPr>
                <w:rStyle w:val="normaltextrun"/>
              </w:rPr>
              <w:t>н</w:t>
            </w:r>
            <w:r w:rsidR="00C42624" w:rsidRPr="00EF7D38">
              <w:rPr>
                <w:rStyle w:val="normaltextrun"/>
              </w:rPr>
              <w:t>ого</w:t>
            </w:r>
            <w:r w:rsidRPr="00EF7D38">
              <w:rPr>
                <w:rStyle w:val="normaltextrun"/>
              </w:rPr>
              <w:t xml:space="preserve"> проведення процедур державної реєстрації (перереєстрації) лікарських засобів, внесення змін до реєстраційних матеріалів протягом дії реєстраційного посвідчення, а також затвердження клінічних досліджень в</w:t>
            </w:r>
            <w:r w:rsidR="00AB2B4E" w:rsidRPr="00EF7D38">
              <w:rPr>
                <w:rStyle w:val="normaltextrun"/>
              </w:rPr>
              <w:t xml:space="preserve"> </w:t>
            </w:r>
            <w:r w:rsidRPr="00EF7D38">
              <w:rPr>
                <w:rStyle w:val="normaltextrun"/>
              </w:rPr>
              <w:t>електронному вигляді</w:t>
            </w:r>
            <w:r w:rsidR="00AB2B4E" w:rsidRPr="00EF7D38">
              <w:rPr>
                <w:rStyle w:val="normaltextrun"/>
              </w:rPr>
              <w:t>.</w:t>
            </w:r>
          </w:p>
        </w:tc>
        <w:tc>
          <w:tcPr>
            <w:tcW w:w="4495" w:type="dxa"/>
          </w:tcPr>
          <w:p w14:paraId="6895EE5D" w14:textId="482AE24C" w:rsidR="00C9110E" w:rsidRPr="00EF7D38" w:rsidRDefault="00324061" w:rsidP="005A0DEA">
            <w:pPr>
              <w:jc w:val="both"/>
            </w:pPr>
            <w:r w:rsidRPr="00EF7D38">
              <w:t xml:space="preserve">Відставання від ЄС, США та деяких пострадянських країн, в яких наразі </w:t>
            </w:r>
            <w:r w:rsidR="00D0610B">
              <w:t>не</w:t>
            </w:r>
            <w:r w:rsidR="00D0610B" w:rsidRPr="00EF7D38">
              <w:t xml:space="preserve"> </w:t>
            </w:r>
            <w:r w:rsidRPr="00EF7D38">
              <w:t>пода</w:t>
            </w:r>
            <w:r w:rsidR="00D0610B">
              <w:t xml:space="preserve">ються </w:t>
            </w:r>
            <w:r w:rsidRPr="00EF7D38">
              <w:t xml:space="preserve">паперові документи для вказаних процедур. </w:t>
            </w:r>
            <w:r w:rsidR="00771F30" w:rsidRPr="00EF7D38">
              <w:t xml:space="preserve">Відсутність </w:t>
            </w:r>
            <w:r w:rsidR="00735EE5" w:rsidRPr="00EF7D38">
              <w:t xml:space="preserve">можливості формування уніфікованих електронних даних для </w:t>
            </w:r>
            <w:proofErr w:type="spellStart"/>
            <w:r w:rsidR="00735EE5" w:rsidRPr="00EF7D38">
              <w:t>держреєстрів</w:t>
            </w:r>
            <w:proofErr w:type="spellEnd"/>
            <w:r w:rsidR="00A1746B" w:rsidRPr="00EF7D38">
              <w:t xml:space="preserve"> та </w:t>
            </w:r>
            <w:r w:rsidR="00771F30" w:rsidRPr="00EF7D38">
              <w:t>можливості</w:t>
            </w:r>
            <w:r w:rsidR="00250736" w:rsidRPr="00EF7D38">
              <w:t xml:space="preserve"> для</w:t>
            </w:r>
            <w:r w:rsidR="00771F30" w:rsidRPr="00EF7D38">
              <w:t xml:space="preserve"> </w:t>
            </w:r>
            <w:r w:rsidR="00A1746B" w:rsidRPr="00EF7D38">
              <w:t>орган</w:t>
            </w:r>
            <w:r w:rsidR="00250736" w:rsidRPr="00EF7D38">
              <w:t>ів</w:t>
            </w:r>
            <w:r w:rsidR="00771F30" w:rsidRPr="00EF7D38">
              <w:t xml:space="preserve"> користування ними</w:t>
            </w:r>
            <w:r w:rsidR="00A1746B" w:rsidRPr="00EF7D38">
              <w:t xml:space="preserve">, </w:t>
            </w:r>
            <w:r w:rsidR="00771F30" w:rsidRPr="00EF7D38">
              <w:t>які</w:t>
            </w:r>
            <w:r w:rsidR="00A1746B" w:rsidRPr="00EF7D38">
              <w:t xml:space="preserve"> взаємодіють в сфері охорони здоров</w:t>
            </w:r>
            <w:r w:rsidR="0009338B" w:rsidRPr="00EF7D38">
              <w:t>’</w:t>
            </w:r>
            <w:r w:rsidR="00A1746B" w:rsidRPr="00EF7D38">
              <w:t xml:space="preserve">я та </w:t>
            </w:r>
            <w:r w:rsidR="00771F30" w:rsidRPr="00EF7D38">
              <w:t>які</w:t>
            </w:r>
            <w:r w:rsidR="00A1746B" w:rsidRPr="00EF7D38">
              <w:t xml:space="preserve"> контролюють їх постачання на ринок з інших країн</w:t>
            </w:r>
            <w:r w:rsidR="0009338B" w:rsidRPr="00EF7D38">
              <w:t>, а також</w:t>
            </w:r>
            <w:r w:rsidR="00250736" w:rsidRPr="00EF7D38">
              <w:t xml:space="preserve"> для</w:t>
            </w:r>
            <w:r w:rsidR="0009338B" w:rsidRPr="00EF7D38">
              <w:t xml:space="preserve"> громадян України</w:t>
            </w:r>
            <w:r w:rsidR="00735EE5" w:rsidRPr="00EF7D38">
              <w:t>.</w:t>
            </w:r>
          </w:p>
        </w:tc>
        <w:tc>
          <w:tcPr>
            <w:tcW w:w="4497" w:type="dxa"/>
          </w:tcPr>
          <w:p w14:paraId="5AE65820" w14:textId="7CBC771E" w:rsidR="00C9110E" w:rsidRPr="00EF7D38" w:rsidRDefault="00735EE5" w:rsidP="005A0DEA">
            <w:pPr>
              <w:jc w:val="both"/>
            </w:pPr>
            <w:r w:rsidRPr="00EF7D38">
              <w:t xml:space="preserve">Пропонуємо визначити чіткі строки та вимоги до повного переходу всіх процедур у фармацевтичній сфері в електронний </w:t>
            </w:r>
            <w:proofErr w:type="spellStart"/>
            <w:r w:rsidR="00200507" w:rsidRPr="00EF7D38">
              <w:rPr>
                <w:rStyle w:val="spellingerror"/>
              </w:rPr>
              <w:t>eCTD</w:t>
            </w:r>
            <w:proofErr w:type="spellEnd"/>
            <w:r w:rsidR="00200507" w:rsidRPr="00EF7D38">
              <w:t xml:space="preserve"> </w:t>
            </w:r>
            <w:r w:rsidRPr="00EF7D38">
              <w:t>формат.</w:t>
            </w:r>
          </w:p>
        </w:tc>
      </w:tr>
      <w:tr w:rsidR="002E173A" w:rsidRPr="00EF7D38" w14:paraId="227004E3" w14:textId="77777777" w:rsidTr="00AB2B4E">
        <w:tc>
          <w:tcPr>
            <w:tcW w:w="456" w:type="dxa"/>
          </w:tcPr>
          <w:p w14:paraId="5DAD76E3" w14:textId="30385607" w:rsidR="005A0DEA" w:rsidRPr="00EF7D38" w:rsidRDefault="00AB2B4E" w:rsidP="005A0DEA">
            <w:pPr>
              <w:jc w:val="both"/>
            </w:pPr>
            <w:r w:rsidRPr="00EF7D38">
              <w:t>1</w:t>
            </w:r>
            <w:r w:rsidR="007461D3">
              <w:t>1</w:t>
            </w:r>
          </w:p>
        </w:tc>
        <w:tc>
          <w:tcPr>
            <w:tcW w:w="4500" w:type="dxa"/>
          </w:tcPr>
          <w:p w14:paraId="62B6C0A6" w14:textId="04B7D526" w:rsidR="005A0DEA" w:rsidRPr="00EF7D38" w:rsidRDefault="00AB2B4E" w:rsidP="00B1549C">
            <w:pPr>
              <w:jc w:val="both"/>
            </w:pPr>
            <w:r w:rsidRPr="00EF7D38">
              <w:t xml:space="preserve">Впровадження </w:t>
            </w:r>
            <w:r w:rsidR="00BB1413" w:rsidRPr="00EF7D38">
              <w:t>«</w:t>
            </w:r>
            <w:r w:rsidRPr="00EF7D38">
              <w:t>державної моделі індивідуального маркування упаковок лікарських засобів 2</w:t>
            </w:r>
            <w:r w:rsidR="006B5DD3" w:rsidRPr="00EF7D38">
              <w:t>-</w:t>
            </w:r>
            <w:r w:rsidRPr="00EF7D38">
              <w:t>Д</w:t>
            </w:r>
            <w:r w:rsidR="006B5DD3" w:rsidRPr="00EF7D38">
              <w:t xml:space="preserve"> </w:t>
            </w:r>
            <w:r w:rsidRPr="00EF7D38">
              <w:t>кодом</w:t>
            </w:r>
            <w:r w:rsidR="00BB1413" w:rsidRPr="00EF7D38">
              <w:t>», замість європейської системи верифікації ліків</w:t>
            </w:r>
            <w:r w:rsidR="007461D3" w:rsidRPr="007461D3">
              <w:t xml:space="preserve">, </w:t>
            </w:r>
            <w:r w:rsidR="007461D3" w:rsidRPr="007461D3">
              <w:lastRenderedPageBreak/>
              <w:t xml:space="preserve">спрямованої на </w:t>
            </w:r>
            <w:r w:rsidR="007461D3" w:rsidRPr="002505CC">
              <w:t>протидію обігу фальсифікованих лікарських засобів</w:t>
            </w:r>
            <w:r w:rsidR="00F70E4E" w:rsidRPr="007461D3">
              <w:t>.</w:t>
            </w:r>
            <w:r w:rsidR="00F70E4E" w:rsidRPr="00EF7D38">
              <w:t xml:space="preserve"> </w:t>
            </w:r>
          </w:p>
        </w:tc>
        <w:tc>
          <w:tcPr>
            <w:tcW w:w="4495" w:type="dxa"/>
          </w:tcPr>
          <w:p w14:paraId="2265BBFC" w14:textId="77777777" w:rsidR="00F70E4E" w:rsidRPr="00EF7D38" w:rsidRDefault="00AB2B4E">
            <w:pPr>
              <w:jc w:val="both"/>
            </w:pPr>
            <w:r w:rsidRPr="00EF7D38">
              <w:lastRenderedPageBreak/>
              <w:t>Неможливість використання уніфікованого підходу під час виробництва лікарських засобів.</w:t>
            </w:r>
          </w:p>
          <w:p w14:paraId="2014F6A6" w14:textId="1B78BC51" w:rsidR="00F70E4E" w:rsidRPr="00EF7D38" w:rsidRDefault="000673A2">
            <w:pPr>
              <w:jc w:val="both"/>
            </w:pPr>
            <w:r w:rsidRPr="00EF7D38">
              <w:t>У кінцевому рахунку</w:t>
            </w:r>
            <w:r w:rsidR="00D0610B">
              <w:t xml:space="preserve"> – </w:t>
            </w:r>
            <w:r w:rsidRPr="00EF7D38">
              <w:t>в</w:t>
            </w:r>
            <w:r w:rsidR="00F70E4E" w:rsidRPr="00EF7D38">
              <w:t xml:space="preserve">ідсутність можливості виконати завдання щодо </w:t>
            </w:r>
            <w:r w:rsidR="00F70E4E" w:rsidRPr="00EF7D38">
              <w:lastRenderedPageBreak/>
              <w:t>унеможливлення надходження на ринок України фальсифікованих ліків.</w:t>
            </w:r>
          </w:p>
          <w:p w14:paraId="18098682" w14:textId="01DD3B08" w:rsidR="005A0DEA" w:rsidRPr="00EF7D38" w:rsidRDefault="00AB2B4E">
            <w:pPr>
              <w:jc w:val="both"/>
            </w:pPr>
            <w:r w:rsidRPr="00EF7D38">
              <w:t xml:space="preserve">Неможливість інтеграції </w:t>
            </w:r>
            <w:r w:rsidR="008E2D38" w:rsidRPr="00EF7D38">
              <w:t xml:space="preserve">системи з ЄС </w:t>
            </w:r>
            <w:r w:rsidRPr="00EF7D38">
              <w:t xml:space="preserve">та </w:t>
            </w:r>
            <w:r w:rsidR="006915E6" w:rsidRPr="00EF7D38">
              <w:t xml:space="preserve">ускладнення </w:t>
            </w:r>
            <w:r w:rsidRPr="00EF7D38">
              <w:t>експорту лікарських засобів до ЄС</w:t>
            </w:r>
            <w:r w:rsidR="00460186" w:rsidRPr="00EF7D38">
              <w:t>.</w:t>
            </w:r>
          </w:p>
        </w:tc>
        <w:tc>
          <w:tcPr>
            <w:tcW w:w="4497" w:type="dxa"/>
          </w:tcPr>
          <w:p w14:paraId="1347F20A" w14:textId="5123B00A" w:rsidR="005A0DEA" w:rsidRPr="00EF7D38" w:rsidRDefault="006B5DD3" w:rsidP="00B1549C">
            <w:pPr>
              <w:jc w:val="both"/>
            </w:pPr>
            <w:r w:rsidRPr="00EF7D38">
              <w:lastRenderedPageBreak/>
              <w:t>Перегляд моделі відповідно до регулювання ЄС</w:t>
            </w:r>
            <w:r w:rsidR="008E2D38" w:rsidRPr="00EF7D38">
              <w:t>.</w:t>
            </w:r>
          </w:p>
          <w:p w14:paraId="4079F9C6" w14:textId="016800DE" w:rsidR="00F70E4E" w:rsidRPr="00EF7D38" w:rsidRDefault="00F70E4E" w:rsidP="00B1549C">
            <w:pPr>
              <w:jc w:val="both"/>
            </w:pPr>
            <w:r w:rsidRPr="00EF7D38">
              <w:t xml:space="preserve">У якості практичних кроків для прогресу у напрямку впровадження системи верифікації в Україні: налагодження </w:t>
            </w:r>
            <w:r w:rsidRPr="00EF7D38">
              <w:lastRenderedPageBreak/>
              <w:t>контакту з ЕМ</w:t>
            </w:r>
            <w:r w:rsidRPr="002505CC">
              <w:t xml:space="preserve">VO – </w:t>
            </w:r>
            <w:r w:rsidRPr="00EF7D38">
              <w:t xml:space="preserve">європейською </w:t>
            </w:r>
            <w:r w:rsidR="00D0610B">
              <w:t>організацією</w:t>
            </w:r>
            <w:r w:rsidR="007461D3">
              <w:t>,</w:t>
            </w:r>
            <w:r w:rsidRPr="00EF7D38">
              <w:t xml:space="preserve"> </w:t>
            </w:r>
            <w:r w:rsidR="007461D3">
              <w:t>що забезпечує</w:t>
            </w:r>
            <w:r w:rsidRPr="00EF7D38">
              <w:t xml:space="preserve"> </w:t>
            </w:r>
            <w:r w:rsidR="007461D3">
              <w:t xml:space="preserve">узгоджену </w:t>
            </w:r>
            <w:r w:rsidRPr="00EF7D38">
              <w:t>інтеграці</w:t>
            </w:r>
            <w:r w:rsidR="007461D3">
              <w:t>ю</w:t>
            </w:r>
            <w:r w:rsidRPr="00EF7D38">
              <w:t xml:space="preserve"> системи верифікації </w:t>
            </w:r>
            <w:r w:rsidR="007461D3">
              <w:t>у</w:t>
            </w:r>
            <w:r w:rsidRPr="00EF7D38">
              <w:t xml:space="preserve"> ЄС.</w:t>
            </w:r>
          </w:p>
        </w:tc>
      </w:tr>
      <w:tr w:rsidR="002E173A" w:rsidRPr="00EF7D38" w14:paraId="0B7BD8D8" w14:textId="77777777" w:rsidTr="00AB2B4E">
        <w:tc>
          <w:tcPr>
            <w:tcW w:w="456" w:type="dxa"/>
          </w:tcPr>
          <w:p w14:paraId="41FD6DC4" w14:textId="0DF5FAC0" w:rsidR="00F54DBD" w:rsidRPr="00EF7D38" w:rsidRDefault="00B1549C" w:rsidP="00F54DBD">
            <w:pPr>
              <w:jc w:val="both"/>
            </w:pPr>
            <w:r w:rsidRPr="00EF7D38">
              <w:lastRenderedPageBreak/>
              <w:t>1</w:t>
            </w:r>
            <w:r w:rsidR="007461D3">
              <w:t>2</w:t>
            </w:r>
          </w:p>
        </w:tc>
        <w:tc>
          <w:tcPr>
            <w:tcW w:w="4500" w:type="dxa"/>
          </w:tcPr>
          <w:p w14:paraId="3268D617" w14:textId="30A150C6" w:rsidR="00F54DBD" w:rsidRPr="00EF7D38" w:rsidRDefault="00F54DBD" w:rsidP="00B1549C">
            <w:pPr>
              <w:jc w:val="both"/>
            </w:pPr>
            <w:r w:rsidRPr="00EF7D38">
              <w:t>Відсутність загального строку затвердження клінічних досліджень</w:t>
            </w:r>
            <w:r w:rsidR="00C42624" w:rsidRPr="00EF7D38">
              <w:t>.</w:t>
            </w:r>
          </w:p>
        </w:tc>
        <w:tc>
          <w:tcPr>
            <w:tcW w:w="4495" w:type="dxa"/>
          </w:tcPr>
          <w:p w14:paraId="7AE9FAAE" w14:textId="23C522CD" w:rsidR="00F54DBD" w:rsidRPr="00EF7D38" w:rsidRDefault="00200507" w:rsidP="00B1549C">
            <w:pPr>
              <w:jc w:val="both"/>
            </w:pPr>
            <w:r w:rsidRPr="00EF7D38">
              <w:t>Значні затримки та відставання від інших країн у залученні клінічних досліджень.</w:t>
            </w:r>
            <w:r w:rsidR="003E345C" w:rsidRPr="00EF7D38">
              <w:t xml:space="preserve"> Відсутність необхідних засад для конкуренції України з іншими країнами щодо залучення клінічних досліджень.</w:t>
            </w:r>
            <w:r w:rsidRPr="00EF7D38">
              <w:t xml:space="preserve"> </w:t>
            </w:r>
            <w:r w:rsidR="00F54DBD" w:rsidRPr="00EF7D38">
              <w:t xml:space="preserve">В Україні </w:t>
            </w:r>
            <w:r w:rsidRPr="00EF7D38">
              <w:t xml:space="preserve">й наразі </w:t>
            </w:r>
            <w:r w:rsidR="00F54DBD" w:rsidRPr="00EF7D38">
              <w:t xml:space="preserve">занадто довгий строк затвердження проведення </w:t>
            </w:r>
            <w:r w:rsidR="001615A5" w:rsidRPr="00EF7D38">
              <w:t>клінічних досліджень</w:t>
            </w:r>
            <w:r w:rsidR="00F54DBD" w:rsidRPr="00EF7D38">
              <w:t>, який фактично може сягати 6-7 місяців.</w:t>
            </w:r>
          </w:p>
        </w:tc>
        <w:tc>
          <w:tcPr>
            <w:tcW w:w="4497" w:type="dxa"/>
          </w:tcPr>
          <w:p w14:paraId="7D42EC9A" w14:textId="78DF8141" w:rsidR="00F54DBD" w:rsidRPr="00EF7D38" w:rsidRDefault="00F54DBD" w:rsidP="00B1549C">
            <w:pPr>
              <w:jc w:val="both"/>
            </w:pPr>
            <w:r w:rsidRPr="00EF7D38">
              <w:t xml:space="preserve">Введення загального строку затвердження </w:t>
            </w:r>
            <w:r w:rsidR="00200507" w:rsidRPr="00EF7D38">
              <w:t>клінічних досліджень</w:t>
            </w:r>
            <w:r w:rsidRPr="00EF7D38">
              <w:t xml:space="preserve">, який буде </w:t>
            </w:r>
            <w:r w:rsidR="00200507" w:rsidRPr="00EF7D38">
              <w:t>відповідати строкам</w:t>
            </w:r>
            <w:r w:rsidRPr="00EF7D38">
              <w:t xml:space="preserve"> </w:t>
            </w:r>
            <w:r w:rsidR="003E345C" w:rsidRPr="00EF7D38">
              <w:t xml:space="preserve">тих країн-членів </w:t>
            </w:r>
            <w:r w:rsidRPr="00EF7D38">
              <w:t>ЄС</w:t>
            </w:r>
            <w:r w:rsidR="003E345C" w:rsidRPr="00EF7D38">
              <w:t>, де строки найменші, з метою ефективного надолуження у конкурентній боротьбі з боку України</w:t>
            </w:r>
            <w:r w:rsidRPr="00EF7D38">
              <w:t>.</w:t>
            </w:r>
          </w:p>
        </w:tc>
      </w:tr>
      <w:tr w:rsidR="00F54DBD" w:rsidRPr="00EF7D38" w14:paraId="03EEDE1D" w14:textId="77777777" w:rsidTr="00AB2B4E">
        <w:tc>
          <w:tcPr>
            <w:tcW w:w="456" w:type="dxa"/>
          </w:tcPr>
          <w:p w14:paraId="0F7ECF24" w14:textId="37A483AD" w:rsidR="00F54DBD" w:rsidRPr="00EF7D38" w:rsidRDefault="00B1549C" w:rsidP="00F54DBD">
            <w:pPr>
              <w:jc w:val="both"/>
            </w:pPr>
            <w:r w:rsidRPr="00EF7D38">
              <w:t>1</w:t>
            </w:r>
            <w:r w:rsidR="007461D3">
              <w:t>3</w:t>
            </w:r>
          </w:p>
        </w:tc>
        <w:tc>
          <w:tcPr>
            <w:tcW w:w="4500" w:type="dxa"/>
          </w:tcPr>
          <w:p w14:paraId="0EDD54B3" w14:textId="7E40CD69" w:rsidR="00F54DBD" w:rsidRPr="00EF7D38" w:rsidRDefault="00B1549C" w:rsidP="00B1549C">
            <w:pPr>
              <w:jc w:val="both"/>
            </w:pPr>
            <w:r w:rsidRPr="00EF7D38">
              <w:t xml:space="preserve">Неповноцінне регулювання </w:t>
            </w:r>
            <w:r w:rsidR="00F54DBD" w:rsidRPr="00EF7D38">
              <w:t xml:space="preserve">програм доступу пацієнтів до </w:t>
            </w:r>
            <w:r w:rsidR="004F429D">
              <w:t xml:space="preserve">незареєстрованих </w:t>
            </w:r>
            <w:r w:rsidR="00F54DBD" w:rsidRPr="00EF7D38">
              <w:t>інноваційн</w:t>
            </w:r>
            <w:r w:rsidR="004F429D">
              <w:t>их лікарських засобів</w:t>
            </w:r>
            <w:r w:rsidR="00656F71" w:rsidRPr="00EF7D38">
              <w:t>.</w:t>
            </w:r>
          </w:p>
        </w:tc>
        <w:tc>
          <w:tcPr>
            <w:tcW w:w="4495" w:type="dxa"/>
          </w:tcPr>
          <w:p w14:paraId="5C07087B" w14:textId="3A84B3A1" w:rsidR="00F54DBD" w:rsidRPr="00EF7D38" w:rsidRDefault="00B1549C" w:rsidP="006972EE">
            <w:pPr>
              <w:jc w:val="both"/>
            </w:pPr>
            <w:r w:rsidRPr="00EF7D38">
              <w:t>В</w:t>
            </w:r>
            <w:r w:rsidR="00F54DBD" w:rsidRPr="00EF7D38">
              <w:t>ажкохвор</w:t>
            </w:r>
            <w:r w:rsidRPr="00EF7D38">
              <w:t>і</w:t>
            </w:r>
            <w:r w:rsidR="00F54DBD" w:rsidRPr="00EF7D38">
              <w:t xml:space="preserve"> пацієнт</w:t>
            </w:r>
            <w:r w:rsidRPr="00EF7D38">
              <w:t>и</w:t>
            </w:r>
            <w:r w:rsidR="00F54DBD" w:rsidRPr="00EF7D38">
              <w:t xml:space="preserve"> (зокрема пацієнти</w:t>
            </w:r>
            <w:r w:rsidR="00200507" w:rsidRPr="00EF7D38">
              <w:t xml:space="preserve"> з онкологічними захворюваннями</w:t>
            </w:r>
            <w:r w:rsidR="00F54DBD" w:rsidRPr="00EF7D38">
              <w:t>), які беруть участь у клінічних дослідженнях інноваційного лікарського засобу та отримують без</w:t>
            </w:r>
            <w:r w:rsidR="001A0FB7" w:rsidRPr="002505CC">
              <w:t xml:space="preserve">оплатне </w:t>
            </w:r>
            <w:r w:rsidR="00F54DBD" w:rsidRPr="00EF7D38">
              <w:t xml:space="preserve"> лікування, не</w:t>
            </w:r>
            <w:r w:rsidRPr="00EF7D38">
              <w:t xml:space="preserve"> </w:t>
            </w:r>
            <w:r w:rsidR="007461D3">
              <w:t>отримають</w:t>
            </w:r>
            <w:r w:rsidR="007461D3" w:rsidRPr="00EF7D38">
              <w:t xml:space="preserve"> </w:t>
            </w:r>
            <w:r w:rsidRPr="00EF7D38">
              <w:t>можлив</w:t>
            </w:r>
            <w:r w:rsidR="007461D3">
              <w:t>і</w:t>
            </w:r>
            <w:r w:rsidR="00656F71" w:rsidRPr="00EF7D38">
              <w:t>ст</w:t>
            </w:r>
            <w:r w:rsidR="007461D3">
              <w:t>ь</w:t>
            </w:r>
            <w:r w:rsidR="00F54DBD" w:rsidRPr="00EF7D38">
              <w:t xml:space="preserve"> </w:t>
            </w:r>
            <w:r w:rsidRPr="00EF7D38">
              <w:t>продовжити</w:t>
            </w:r>
            <w:r w:rsidR="00F54DBD" w:rsidRPr="00EF7D38">
              <w:t xml:space="preserve"> лікування досліджуваним препаратом після завершення </w:t>
            </w:r>
            <w:r w:rsidR="002C3E82" w:rsidRPr="00EF7D38">
              <w:t>клінічного дослідження</w:t>
            </w:r>
            <w:r w:rsidR="00F54DBD" w:rsidRPr="00EF7D38">
              <w:t>.</w:t>
            </w:r>
            <w:r w:rsidRPr="00EF7D38">
              <w:t xml:space="preserve"> </w:t>
            </w:r>
            <w:r w:rsidR="00656F71" w:rsidRPr="00EF7D38">
              <w:rPr>
                <w:shd w:val="clear" w:color="auto" w:fill="FFFFFF"/>
              </w:rPr>
              <w:t>Т</w:t>
            </w:r>
            <w:r w:rsidR="00F54DBD" w:rsidRPr="00EF7D38">
              <w:rPr>
                <w:shd w:val="clear" w:color="auto" w:fill="FFFFFF"/>
              </w:rPr>
              <w:t>акі можливості</w:t>
            </w:r>
            <w:r w:rsidR="007461D3">
              <w:rPr>
                <w:shd w:val="clear" w:color="auto" w:fill="FFFFFF"/>
              </w:rPr>
              <w:t xml:space="preserve"> </w:t>
            </w:r>
            <w:r w:rsidR="00F54DBD" w:rsidRPr="00EF7D38">
              <w:rPr>
                <w:shd w:val="clear" w:color="auto" w:fill="FFFFFF"/>
              </w:rPr>
              <w:t xml:space="preserve">в </w:t>
            </w:r>
            <w:r w:rsidR="00656F71" w:rsidRPr="00EF7D38">
              <w:rPr>
                <w:shd w:val="clear" w:color="auto" w:fill="FFFFFF"/>
              </w:rPr>
              <w:t>Україні</w:t>
            </w:r>
            <w:r w:rsidR="00F54DBD" w:rsidRPr="00EF7D38">
              <w:rPr>
                <w:shd w:val="clear" w:color="auto" w:fill="FFFFFF"/>
              </w:rPr>
              <w:t xml:space="preserve"> не можуть бути </w:t>
            </w:r>
            <w:r w:rsidR="007461D3">
              <w:rPr>
                <w:shd w:val="clear" w:color="auto" w:fill="FFFFFF"/>
              </w:rPr>
              <w:t xml:space="preserve">повноцінно </w:t>
            </w:r>
            <w:r w:rsidR="00F54DBD" w:rsidRPr="00EF7D38">
              <w:rPr>
                <w:shd w:val="clear" w:color="auto" w:fill="FFFFFF"/>
              </w:rPr>
              <w:t xml:space="preserve">реалізовані </w:t>
            </w:r>
            <w:r w:rsidR="00656F71" w:rsidRPr="00EF7D38">
              <w:rPr>
                <w:shd w:val="clear" w:color="auto" w:fill="FFFFFF"/>
              </w:rPr>
              <w:t>через</w:t>
            </w:r>
            <w:r w:rsidR="00F54DBD" w:rsidRPr="00EF7D38">
              <w:rPr>
                <w:shd w:val="clear" w:color="auto" w:fill="FFFFFF"/>
              </w:rPr>
              <w:t xml:space="preserve"> </w:t>
            </w:r>
            <w:r w:rsidR="00BA46B8" w:rsidRPr="00EF7D38">
              <w:rPr>
                <w:shd w:val="clear" w:color="auto" w:fill="FFFFFF"/>
              </w:rPr>
              <w:t xml:space="preserve">відсутність </w:t>
            </w:r>
            <w:r w:rsidR="002C3E82" w:rsidRPr="00EF7D38">
              <w:rPr>
                <w:shd w:val="clear" w:color="auto" w:fill="FFFFFF"/>
              </w:rPr>
              <w:t xml:space="preserve">наразі </w:t>
            </w:r>
            <w:r w:rsidR="00BA46B8" w:rsidRPr="00EF7D38">
              <w:rPr>
                <w:shd w:val="clear" w:color="auto" w:fill="FFFFFF"/>
              </w:rPr>
              <w:t>регулювання</w:t>
            </w:r>
            <w:r w:rsidR="00F54DBD" w:rsidRPr="00EF7D38">
              <w:rPr>
                <w:shd w:val="clear" w:color="auto" w:fill="FFFFFF"/>
              </w:rPr>
              <w:t xml:space="preserve"> на законодавчому рівні</w:t>
            </w:r>
            <w:r w:rsidRPr="00EF7D38">
              <w:rPr>
                <w:shd w:val="clear" w:color="auto" w:fill="FFFFFF"/>
              </w:rPr>
              <w:t xml:space="preserve"> та не врегульовуються </w:t>
            </w:r>
            <w:r w:rsidR="00200507" w:rsidRPr="00EF7D38">
              <w:rPr>
                <w:shd w:val="clear" w:color="auto" w:fill="FFFFFF"/>
              </w:rPr>
              <w:t>первісною р</w:t>
            </w:r>
            <w:r w:rsidR="00BA46B8" w:rsidRPr="00EF7D38">
              <w:rPr>
                <w:shd w:val="clear" w:color="auto" w:fill="FFFFFF"/>
              </w:rPr>
              <w:t>е</w:t>
            </w:r>
            <w:r w:rsidR="00200507" w:rsidRPr="00EF7D38">
              <w:rPr>
                <w:shd w:val="clear" w:color="auto" w:fill="FFFFFF"/>
              </w:rPr>
              <w:t>дакціє</w:t>
            </w:r>
            <w:r w:rsidR="00BA46B8" w:rsidRPr="00EF7D38">
              <w:rPr>
                <w:shd w:val="clear" w:color="auto" w:fill="FFFFFF"/>
              </w:rPr>
              <w:t>ю</w:t>
            </w:r>
            <w:r w:rsidR="00200507" w:rsidRPr="00EF7D38">
              <w:rPr>
                <w:shd w:val="clear" w:color="auto" w:fill="FFFFFF"/>
              </w:rPr>
              <w:t xml:space="preserve"> </w:t>
            </w:r>
            <w:r w:rsidR="003E6673" w:rsidRPr="00EF7D38">
              <w:rPr>
                <w:shd w:val="clear" w:color="auto" w:fill="FFFFFF"/>
              </w:rPr>
              <w:t>Законоп</w:t>
            </w:r>
            <w:r w:rsidRPr="00EF7D38">
              <w:rPr>
                <w:shd w:val="clear" w:color="auto" w:fill="FFFFFF"/>
              </w:rPr>
              <w:t>ро</w:t>
            </w:r>
            <w:r w:rsidR="00C42624" w:rsidRPr="00EF7D38">
              <w:rPr>
                <w:shd w:val="clear" w:color="auto" w:fill="FFFFFF"/>
              </w:rPr>
              <w:t>є</w:t>
            </w:r>
            <w:r w:rsidRPr="00EF7D38">
              <w:rPr>
                <w:shd w:val="clear" w:color="auto" w:fill="FFFFFF"/>
              </w:rPr>
              <w:t>кт</w:t>
            </w:r>
            <w:r w:rsidR="00200507" w:rsidRPr="00EF7D38">
              <w:rPr>
                <w:shd w:val="clear" w:color="auto" w:fill="FFFFFF"/>
              </w:rPr>
              <w:t>у</w:t>
            </w:r>
            <w:r w:rsidRPr="00EF7D38">
              <w:rPr>
                <w:shd w:val="clear" w:color="auto" w:fill="FFFFFF"/>
              </w:rPr>
              <w:t xml:space="preserve"> в повній мірі</w:t>
            </w:r>
            <w:r w:rsidR="00F54DBD" w:rsidRPr="00EF7D38">
              <w:rPr>
                <w:shd w:val="clear" w:color="auto" w:fill="FFFFFF"/>
              </w:rPr>
              <w:t xml:space="preserve">. </w:t>
            </w:r>
          </w:p>
        </w:tc>
        <w:tc>
          <w:tcPr>
            <w:tcW w:w="4497" w:type="dxa"/>
          </w:tcPr>
          <w:p w14:paraId="14DD2C08" w14:textId="5CC9B737" w:rsidR="00F54DBD" w:rsidRPr="00EF7D38" w:rsidRDefault="00656F71" w:rsidP="00B1549C">
            <w:pPr>
              <w:jc w:val="both"/>
              <w:rPr>
                <w:shd w:val="clear" w:color="auto" w:fill="FFFFFF"/>
                <w:lang w:eastAsia="en-US"/>
              </w:rPr>
            </w:pPr>
            <w:r w:rsidRPr="00EF7D38">
              <w:rPr>
                <w:shd w:val="clear" w:color="auto" w:fill="FFFFFF"/>
              </w:rPr>
              <w:t>Необхідно</w:t>
            </w:r>
            <w:r w:rsidR="00F54DBD" w:rsidRPr="00EF7D38">
              <w:rPr>
                <w:shd w:val="clear" w:color="auto" w:fill="FFFFFF"/>
              </w:rPr>
              <w:t xml:space="preserve"> законодавчо </w:t>
            </w:r>
            <w:r w:rsidR="00B1549C" w:rsidRPr="00EF7D38">
              <w:rPr>
                <w:shd w:val="clear" w:color="auto" w:fill="FFFFFF"/>
              </w:rPr>
              <w:t>врегулювати</w:t>
            </w:r>
            <w:r w:rsidR="00F54DBD" w:rsidRPr="00EF7D38">
              <w:rPr>
                <w:shd w:val="clear" w:color="auto" w:fill="FFFFFF"/>
              </w:rPr>
              <w:t xml:space="preserve"> можливість доступу важкохворих пацієнтів до досліджуваних лікарських засобів після закінчення </w:t>
            </w:r>
            <w:r w:rsidR="00200507" w:rsidRPr="00EF7D38">
              <w:rPr>
                <w:shd w:val="clear" w:color="auto" w:fill="FFFFFF"/>
              </w:rPr>
              <w:t>клінічних досліджень</w:t>
            </w:r>
            <w:r w:rsidR="00F54DBD" w:rsidRPr="00EF7D38">
              <w:rPr>
                <w:shd w:val="clear" w:color="auto" w:fill="FFFFFF"/>
              </w:rPr>
              <w:t xml:space="preserve"> та </w:t>
            </w:r>
            <w:r w:rsidRPr="00EF7D38">
              <w:rPr>
                <w:shd w:val="clear" w:color="auto" w:fill="FFFFFF"/>
              </w:rPr>
              <w:t xml:space="preserve">можливість </w:t>
            </w:r>
            <w:r w:rsidR="00F54DBD" w:rsidRPr="00EF7D38">
              <w:rPr>
                <w:shd w:val="clear" w:color="auto" w:fill="FFFFFF"/>
              </w:rPr>
              <w:t>доступ</w:t>
            </w:r>
            <w:r w:rsidRPr="00EF7D38">
              <w:rPr>
                <w:shd w:val="clear" w:color="auto" w:fill="FFFFFF"/>
              </w:rPr>
              <w:t>у</w:t>
            </w:r>
            <w:r w:rsidR="00F54DBD" w:rsidRPr="00EF7D38">
              <w:rPr>
                <w:shd w:val="clear" w:color="auto" w:fill="FFFFFF"/>
              </w:rPr>
              <w:t xml:space="preserve"> пацієнтів до </w:t>
            </w:r>
            <w:r w:rsidR="00F54DBD" w:rsidRPr="00EF7D38">
              <w:t>інноваційного лікування/</w:t>
            </w:r>
            <w:r w:rsidR="00F54DBD" w:rsidRPr="00EF7D38">
              <w:rPr>
                <w:shd w:val="clear" w:color="auto" w:fill="FFFFFF"/>
              </w:rPr>
              <w:t xml:space="preserve">незареєстрованих </w:t>
            </w:r>
            <w:r w:rsidRPr="00EF7D38">
              <w:rPr>
                <w:shd w:val="clear" w:color="auto" w:fill="FFFFFF"/>
              </w:rPr>
              <w:t>лікарських засобів</w:t>
            </w:r>
            <w:r w:rsidR="00F54DBD" w:rsidRPr="00EF7D38">
              <w:rPr>
                <w:shd w:val="clear" w:color="auto" w:fill="FFFFFF"/>
              </w:rPr>
              <w:t xml:space="preserve"> поза межами </w:t>
            </w:r>
            <w:r w:rsidR="00200507" w:rsidRPr="00EF7D38">
              <w:rPr>
                <w:shd w:val="clear" w:color="auto" w:fill="FFFFFF"/>
              </w:rPr>
              <w:t>клінічних досліджень</w:t>
            </w:r>
            <w:r w:rsidR="00F54DBD" w:rsidRPr="00EF7D38">
              <w:rPr>
                <w:shd w:val="clear" w:color="auto" w:fill="FFFFFF"/>
              </w:rPr>
              <w:t xml:space="preserve"> </w:t>
            </w:r>
            <w:r w:rsidR="00F54DBD" w:rsidRPr="00EF7D38">
              <w:t>у програмах надання пацієнтам лікарських засобів зі співчуття</w:t>
            </w:r>
            <w:r w:rsidRPr="00EF7D38">
              <w:t>.</w:t>
            </w:r>
          </w:p>
        </w:tc>
      </w:tr>
    </w:tbl>
    <w:p w14:paraId="083EB5AD" w14:textId="77777777" w:rsidR="005A0DEA" w:rsidRPr="00EF7D38" w:rsidRDefault="005A0DEA"/>
    <w:p w14:paraId="13902556" w14:textId="49394446" w:rsidR="00A1746B" w:rsidRPr="00EF7D38" w:rsidRDefault="00A1746B" w:rsidP="006B5DD3">
      <w:pPr>
        <w:jc w:val="both"/>
      </w:pPr>
    </w:p>
    <w:sectPr w:rsidR="00A1746B" w:rsidRPr="00EF7D38" w:rsidSect="00AB2B4E"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AD7D" w14:textId="77777777" w:rsidR="00196BB7" w:rsidRDefault="00196BB7" w:rsidP="00324061">
      <w:r>
        <w:separator/>
      </w:r>
    </w:p>
  </w:endnote>
  <w:endnote w:type="continuationSeparator" w:id="0">
    <w:p w14:paraId="7481A43D" w14:textId="77777777" w:rsidR="00196BB7" w:rsidRDefault="00196BB7" w:rsidP="0032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43483148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417A94C" w14:textId="42E5556B" w:rsidR="00A26AAF" w:rsidRDefault="00A26AAF" w:rsidP="00A26AAF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0510E46C" w14:textId="77777777" w:rsidR="00A26AAF" w:rsidRDefault="00A26AAF" w:rsidP="00AB2B4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582420113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CFDF7C4" w14:textId="5347540F" w:rsidR="00A26AAF" w:rsidRDefault="00A26AAF" w:rsidP="00A26AAF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6</w:t>
        </w:r>
        <w:r>
          <w:rPr>
            <w:rStyle w:val="ab"/>
          </w:rPr>
          <w:fldChar w:fldCharType="end"/>
        </w:r>
      </w:p>
    </w:sdtContent>
  </w:sdt>
  <w:p w14:paraId="32471BB0" w14:textId="77777777" w:rsidR="00A26AAF" w:rsidRDefault="00A26AAF" w:rsidP="00AB2B4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4881" w14:textId="77777777" w:rsidR="00196BB7" w:rsidRDefault="00196BB7" w:rsidP="00324061">
      <w:r>
        <w:separator/>
      </w:r>
    </w:p>
  </w:footnote>
  <w:footnote w:type="continuationSeparator" w:id="0">
    <w:p w14:paraId="51CC9D3D" w14:textId="77777777" w:rsidR="00196BB7" w:rsidRDefault="00196BB7" w:rsidP="00324061">
      <w:r>
        <w:continuationSeparator/>
      </w:r>
    </w:p>
  </w:footnote>
  <w:footnote w:id="1">
    <w:p w14:paraId="24D740AA" w14:textId="77777777" w:rsidR="00A26AAF" w:rsidRPr="0049753E" w:rsidRDefault="00A26AAF" w:rsidP="00324061">
      <w:pPr>
        <w:pStyle w:val="a4"/>
        <w:rPr>
          <w:rFonts w:ascii="Times New Roman" w:hAnsi="Times New Roman" w:cs="Times New Roman"/>
          <w:lang w:val="uk-UA"/>
        </w:rPr>
      </w:pPr>
      <w:r w:rsidRPr="0049753E">
        <w:rPr>
          <w:rStyle w:val="a6"/>
          <w:rFonts w:ascii="Times New Roman" w:hAnsi="Times New Roman" w:cs="Times New Roman"/>
        </w:rPr>
        <w:footnoteRef/>
      </w:r>
      <w:r w:rsidRPr="0049753E">
        <w:rPr>
          <w:rFonts w:ascii="Times New Roman" w:hAnsi="Times New Roman" w:cs="Times New Roman"/>
          <w:lang w:val="uk-UA"/>
        </w:rPr>
        <w:t xml:space="preserve"> </w:t>
      </w:r>
      <w:hyperlink r:id="rId1" w:history="1">
        <w:r w:rsidRPr="0049753E">
          <w:rPr>
            <w:rStyle w:val="a7"/>
            <w:rFonts w:ascii="Times New Roman" w:hAnsi="Times New Roman" w:cs="Times New Roman"/>
            <w:lang w:val="uk-UA"/>
          </w:rPr>
          <w:t>https://moz.gov.ua/uploads/ckeditor/%D0%B4%D0%BE%D0%BA%D1%83%D0%BC%D0%B5%D0%BD%D1%82%D0%B8/%D0%9F%D0%BB%D0%B0%D0%BD%20%D1%80%D0%BE%D0%B7%D0%B1%D1%83%D0%B4%D0%BE%D0%B2%D0%B8%20%D1%96%D0%BD%D1%81%D1%82%D0%B8%D1%82%D1%83%D1%86%D1%96%D0%B9%D0%BD%D0%BE%D1%97%20%D1%81%D0%BF%D1%80%D0%BE%D0%BC%D0%BE%D0%B6%D0%BD%D0%BE%D1%81%D1%82%D1%96/20190329_InstitutionalCapacityBuildingPlan_UPDATED_UKR.pdf</w:t>
        </w:r>
      </w:hyperlink>
      <w:r w:rsidRPr="0049753E">
        <w:rPr>
          <w:rFonts w:ascii="Times New Roman" w:hAnsi="Times New Roman" w:cs="Times New Roman"/>
          <w:lang w:val="uk-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1681"/>
    <w:multiLevelType w:val="hybridMultilevel"/>
    <w:tmpl w:val="6388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E38BD"/>
    <w:multiLevelType w:val="hybridMultilevel"/>
    <w:tmpl w:val="ED40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01495"/>
    <w:multiLevelType w:val="hybridMultilevel"/>
    <w:tmpl w:val="A62A41F6"/>
    <w:lvl w:ilvl="0" w:tplc="86DAFC5A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0E"/>
    <w:rsid w:val="0001284A"/>
    <w:rsid w:val="000273D8"/>
    <w:rsid w:val="00041A60"/>
    <w:rsid w:val="00056A3E"/>
    <w:rsid w:val="00064342"/>
    <w:rsid w:val="000673A2"/>
    <w:rsid w:val="00073CD2"/>
    <w:rsid w:val="0009338B"/>
    <w:rsid w:val="000C142A"/>
    <w:rsid w:val="000C73A0"/>
    <w:rsid w:val="000E3C3D"/>
    <w:rsid w:val="000F1E1F"/>
    <w:rsid w:val="000F67E4"/>
    <w:rsid w:val="001461A6"/>
    <w:rsid w:val="001476D0"/>
    <w:rsid w:val="001514BE"/>
    <w:rsid w:val="00160204"/>
    <w:rsid w:val="001615A5"/>
    <w:rsid w:val="00163633"/>
    <w:rsid w:val="00173F14"/>
    <w:rsid w:val="00182006"/>
    <w:rsid w:val="00196BB7"/>
    <w:rsid w:val="001975E2"/>
    <w:rsid w:val="001A0FB7"/>
    <w:rsid w:val="001A342E"/>
    <w:rsid w:val="001B3D63"/>
    <w:rsid w:val="001C72EF"/>
    <w:rsid w:val="001E207B"/>
    <w:rsid w:val="00200507"/>
    <w:rsid w:val="002119A0"/>
    <w:rsid w:val="002369FC"/>
    <w:rsid w:val="00236DFD"/>
    <w:rsid w:val="002505CC"/>
    <w:rsid w:val="00250736"/>
    <w:rsid w:val="002823CD"/>
    <w:rsid w:val="00290478"/>
    <w:rsid w:val="002C3E82"/>
    <w:rsid w:val="002D29FB"/>
    <w:rsid w:val="002E173A"/>
    <w:rsid w:val="002F27DE"/>
    <w:rsid w:val="002F5496"/>
    <w:rsid w:val="002F63F7"/>
    <w:rsid w:val="003101DD"/>
    <w:rsid w:val="00324061"/>
    <w:rsid w:val="00331A8C"/>
    <w:rsid w:val="0033559D"/>
    <w:rsid w:val="003550BA"/>
    <w:rsid w:val="003A2B30"/>
    <w:rsid w:val="003D2671"/>
    <w:rsid w:val="003D4C29"/>
    <w:rsid w:val="003E345C"/>
    <w:rsid w:val="003E3ECD"/>
    <w:rsid w:val="003E6673"/>
    <w:rsid w:val="00435D2B"/>
    <w:rsid w:val="00436250"/>
    <w:rsid w:val="004458B9"/>
    <w:rsid w:val="00460186"/>
    <w:rsid w:val="00483EB3"/>
    <w:rsid w:val="004F429D"/>
    <w:rsid w:val="00503CBD"/>
    <w:rsid w:val="00520674"/>
    <w:rsid w:val="00533CCD"/>
    <w:rsid w:val="0055662A"/>
    <w:rsid w:val="00571989"/>
    <w:rsid w:val="005A0DEA"/>
    <w:rsid w:val="005A46E4"/>
    <w:rsid w:val="005A4CA4"/>
    <w:rsid w:val="005B2EA3"/>
    <w:rsid w:val="005B49AF"/>
    <w:rsid w:val="005B7027"/>
    <w:rsid w:val="005D1934"/>
    <w:rsid w:val="005E56BC"/>
    <w:rsid w:val="005E6D99"/>
    <w:rsid w:val="005F6790"/>
    <w:rsid w:val="00631578"/>
    <w:rsid w:val="00643147"/>
    <w:rsid w:val="00656F71"/>
    <w:rsid w:val="00676A5E"/>
    <w:rsid w:val="00683660"/>
    <w:rsid w:val="00686D8B"/>
    <w:rsid w:val="006915E6"/>
    <w:rsid w:val="006972EE"/>
    <w:rsid w:val="006B0CF8"/>
    <w:rsid w:val="006B5DD3"/>
    <w:rsid w:val="006C7F4B"/>
    <w:rsid w:val="006F6B21"/>
    <w:rsid w:val="00717FA1"/>
    <w:rsid w:val="00735EE5"/>
    <w:rsid w:val="007437A9"/>
    <w:rsid w:val="007461D3"/>
    <w:rsid w:val="00771F30"/>
    <w:rsid w:val="007B6DB5"/>
    <w:rsid w:val="007D45A5"/>
    <w:rsid w:val="007F31B5"/>
    <w:rsid w:val="00817B15"/>
    <w:rsid w:val="00820BBE"/>
    <w:rsid w:val="00887198"/>
    <w:rsid w:val="00892779"/>
    <w:rsid w:val="0089575E"/>
    <w:rsid w:val="008978B8"/>
    <w:rsid w:val="008A5062"/>
    <w:rsid w:val="008C0AAB"/>
    <w:rsid w:val="008C0C0C"/>
    <w:rsid w:val="008E2D38"/>
    <w:rsid w:val="00921799"/>
    <w:rsid w:val="00942F18"/>
    <w:rsid w:val="00984289"/>
    <w:rsid w:val="009B2F39"/>
    <w:rsid w:val="009B7184"/>
    <w:rsid w:val="009C4E1C"/>
    <w:rsid w:val="009D2DC9"/>
    <w:rsid w:val="009E5E06"/>
    <w:rsid w:val="00A075D6"/>
    <w:rsid w:val="00A1746B"/>
    <w:rsid w:val="00A26AAF"/>
    <w:rsid w:val="00A50777"/>
    <w:rsid w:val="00A66DF1"/>
    <w:rsid w:val="00A72DD9"/>
    <w:rsid w:val="00A94F08"/>
    <w:rsid w:val="00AA251C"/>
    <w:rsid w:val="00AB2B4E"/>
    <w:rsid w:val="00AE710D"/>
    <w:rsid w:val="00B0302A"/>
    <w:rsid w:val="00B03804"/>
    <w:rsid w:val="00B1549C"/>
    <w:rsid w:val="00B20FF7"/>
    <w:rsid w:val="00B66892"/>
    <w:rsid w:val="00B71A6F"/>
    <w:rsid w:val="00B92E45"/>
    <w:rsid w:val="00BA46B8"/>
    <w:rsid w:val="00BA6656"/>
    <w:rsid w:val="00BB1413"/>
    <w:rsid w:val="00BB55CD"/>
    <w:rsid w:val="00BE6426"/>
    <w:rsid w:val="00C422E1"/>
    <w:rsid w:val="00C42624"/>
    <w:rsid w:val="00C84060"/>
    <w:rsid w:val="00C9110E"/>
    <w:rsid w:val="00CB2A23"/>
    <w:rsid w:val="00CF6D3E"/>
    <w:rsid w:val="00D01AD7"/>
    <w:rsid w:val="00D0610B"/>
    <w:rsid w:val="00D31917"/>
    <w:rsid w:val="00D60C15"/>
    <w:rsid w:val="00DA06CF"/>
    <w:rsid w:val="00DA1AE2"/>
    <w:rsid w:val="00DB1339"/>
    <w:rsid w:val="00DB54A0"/>
    <w:rsid w:val="00DC3511"/>
    <w:rsid w:val="00E45A02"/>
    <w:rsid w:val="00E50D69"/>
    <w:rsid w:val="00E655A3"/>
    <w:rsid w:val="00EA740C"/>
    <w:rsid w:val="00EB248E"/>
    <w:rsid w:val="00EB39E8"/>
    <w:rsid w:val="00EB56EC"/>
    <w:rsid w:val="00EC4AC3"/>
    <w:rsid w:val="00ED0BB3"/>
    <w:rsid w:val="00EF5D85"/>
    <w:rsid w:val="00EF7D38"/>
    <w:rsid w:val="00F204A2"/>
    <w:rsid w:val="00F23B25"/>
    <w:rsid w:val="00F40D84"/>
    <w:rsid w:val="00F54DBD"/>
    <w:rsid w:val="00F6454A"/>
    <w:rsid w:val="00F70E4E"/>
    <w:rsid w:val="00F91493"/>
    <w:rsid w:val="00F97510"/>
    <w:rsid w:val="00FA33CC"/>
    <w:rsid w:val="00F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9B4E"/>
  <w15:chartTrackingRefBased/>
  <w15:docId w15:val="{EB7478B8-FEC4-2449-A23A-86746B2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06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24061"/>
    <w:rPr>
      <w:rFonts w:ascii="Calibri" w:eastAsiaTheme="minorHAnsi" w:hAnsi="Calibri" w:cs="Calibri"/>
      <w:sz w:val="20"/>
      <w:szCs w:val="20"/>
      <w:lang w:val="ru-RU"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324061"/>
    <w:rPr>
      <w:rFonts w:ascii="Calibri" w:hAnsi="Calibri" w:cs="Calibri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324061"/>
    <w:rPr>
      <w:vertAlign w:val="superscript"/>
    </w:rPr>
  </w:style>
  <w:style w:type="character" w:styleId="a7">
    <w:name w:val="Hyperlink"/>
    <w:basedOn w:val="a0"/>
    <w:uiPriority w:val="99"/>
    <w:unhideWhenUsed/>
    <w:rsid w:val="00324061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324061"/>
  </w:style>
  <w:style w:type="character" w:customStyle="1" w:styleId="spellingerror">
    <w:name w:val="spellingerror"/>
    <w:basedOn w:val="a0"/>
    <w:rsid w:val="00324061"/>
  </w:style>
  <w:style w:type="paragraph" w:styleId="a8">
    <w:name w:val="List Paragraph"/>
    <w:basedOn w:val="a"/>
    <w:uiPriority w:val="34"/>
    <w:qFormat/>
    <w:rsid w:val="005A0DE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B4E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B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AB2B4E"/>
  </w:style>
  <w:style w:type="paragraph" w:styleId="ac">
    <w:name w:val="header"/>
    <w:basedOn w:val="a"/>
    <w:link w:val="ad"/>
    <w:uiPriority w:val="99"/>
    <w:unhideWhenUsed/>
    <w:rsid w:val="00AB2B4E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2B4E"/>
    <w:rPr>
      <w:rFonts w:ascii="Times New Roman" w:eastAsia="Times New Roman" w:hAnsi="Times New Roman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921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179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17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1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17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2179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1799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Revision"/>
    <w:hidden/>
    <w:uiPriority w:val="99"/>
    <w:semiHidden/>
    <w:rsid w:val="00F54DBD"/>
    <w:rPr>
      <w:rFonts w:ascii="Times New Roman" w:eastAsia="Times New Roman" w:hAnsi="Times New Roman" w:cs="Times New Roman"/>
      <w:lang w:eastAsia="ru-RU"/>
    </w:rPr>
  </w:style>
  <w:style w:type="character" w:styleId="af6">
    <w:name w:val="Unresolved Mention"/>
    <w:basedOn w:val="a0"/>
    <w:uiPriority w:val="99"/>
    <w:semiHidden/>
    <w:unhideWhenUsed/>
    <w:rsid w:val="00DC3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oz.gov.ua/uploads/ckeditor/%D0%B4%D0%BE%D0%BA%D1%83%D0%BC%D0%B5%D0%BD%D1%82%D0%B8/%D0%9F%D0%BB%D0%B0%D0%BD%20%D1%80%D0%BE%D0%B7%D0%B1%D1%83%D0%B4%D0%BE%D0%B2%D0%B8%20%D1%96%D0%BD%D1%81%D1%82%D0%B8%D1%82%D1%83%D1%86%D1%96%D0%B9%D0%BD%D0%BE%D1%97%20%D1%81%D0%BF%D1%80%D0%BE%D0%BC%D0%BE%D0%B6%D0%BD%D0%BE%D1%81%D1%82%D1%96/20190329_InstitutionalCapacityBuildingPlan_UPDATED_UK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7F5DDC-5CA4-457D-8E16-EE4F0EA1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Lurye</dc:creator>
  <cp:keywords/>
  <dc:description/>
  <cp:lastModifiedBy>Dmytro Lurye</cp:lastModifiedBy>
  <cp:revision>2</cp:revision>
  <dcterms:created xsi:type="dcterms:W3CDTF">2021-09-23T08:29:00Z</dcterms:created>
  <dcterms:modified xsi:type="dcterms:W3CDTF">2021-09-23T08:29:00Z</dcterms:modified>
</cp:coreProperties>
</file>